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contextualSpacing/>
        <w:jc w:val="center"/>
        <w:rPr>
          <w:rFonts w:hint="eastAsia" w:ascii="方正小标宋简体" w:hAnsi="黑体" w:eastAsia="方正小标宋简体" w:cs="仿宋_GB2312"/>
          <w:sz w:val="36"/>
          <w:szCs w:val="32"/>
        </w:rPr>
      </w:pPr>
      <w:r>
        <w:rPr>
          <w:rFonts w:hint="eastAsia" w:ascii="方正小标宋简体" w:hAnsi="黑体" w:eastAsia="方正小标宋简体" w:cs="仿宋_GB2312"/>
          <w:sz w:val="36"/>
          <w:szCs w:val="32"/>
        </w:rPr>
        <w:t>南京航空航天大学文明研究生工作室评分标准</w:t>
      </w:r>
    </w:p>
    <w:p>
      <w:pPr>
        <w:spacing w:line="40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所在学院：</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工作室楼栋号、门牌号：</w:t>
      </w:r>
    </w:p>
    <w:tbl>
      <w:tblPr>
        <w:tblStyle w:val="2"/>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194"/>
        <w:gridCol w:w="4668"/>
        <w:gridCol w:w="984"/>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7"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序号</w:t>
            </w:r>
          </w:p>
        </w:tc>
        <w:tc>
          <w:tcPr>
            <w:tcW w:w="1194"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项目</w:t>
            </w:r>
          </w:p>
        </w:tc>
        <w:tc>
          <w:tcPr>
            <w:tcW w:w="4668"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考核内容</w:t>
            </w:r>
          </w:p>
        </w:tc>
        <w:tc>
          <w:tcPr>
            <w:tcW w:w="984"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参考分</w:t>
            </w:r>
          </w:p>
        </w:tc>
        <w:tc>
          <w:tcPr>
            <w:tcW w:w="859"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87" w:type="dxa"/>
            <w:noWrap w:val="0"/>
            <w:vAlign w:val="center"/>
          </w:tcPr>
          <w:p>
            <w:pPr>
              <w:spacing w:line="560" w:lineRule="exact"/>
              <w:jc w:val="center"/>
              <w:rPr>
                <w:rFonts w:hint="eastAsia" w:ascii="仿宋_GB2312" w:hAnsi="方正小标宋简体" w:eastAsia="仿宋_GB2312" w:cs="方正小标宋简体"/>
                <w:sz w:val="24"/>
                <w:szCs w:val="24"/>
              </w:rPr>
            </w:pPr>
            <w:r>
              <w:rPr>
                <w:rFonts w:hint="eastAsia" w:ascii="仿宋_GB2312" w:hAnsi="方正小标宋简体" w:eastAsia="仿宋_GB2312" w:cs="方正小标宋简体"/>
                <w:sz w:val="24"/>
                <w:szCs w:val="24"/>
              </w:rPr>
              <w:t>1</w:t>
            </w:r>
          </w:p>
        </w:tc>
        <w:tc>
          <w:tcPr>
            <w:tcW w:w="119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_GB2312" w:eastAsia="仿宋_GB2312" w:cs="仿宋_GB2312"/>
                <w:sz w:val="24"/>
                <w:szCs w:val="24"/>
              </w:rPr>
              <w:t>思想道德</w:t>
            </w:r>
          </w:p>
        </w:tc>
        <w:tc>
          <w:tcPr>
            <w:tcW w:w="4668" w:type="dxa"/>
            <w:noWrap w:val="0"/>
            <w:vAlign w:val="center"/>
          </w:tcPr>
          <w:p>
            <w:pPr>
              <w:spacing w:line="400" w:lineRule="exact"/>
              <w:rPr>
                <w:rFonts w:hint="eastAsia" w:ascii="仿宋_GB2312" w:hAnsi="仿宋" w:eastAsia="仿宋_GB2312" w:cs="仿宋"/>
                <w:sz w:val="24"/>
                <w:szCs w:val="24"/>
              </w:rPr>
            </w:pPr>
            <w:r>
              <w:rPr>
                <w:rFonts w:hint="eastAsia" w:ascii="仿宋_GB2312" w:hAnsi="仿宋_GB2312" w:eastAsia="仿宋_GB2312" w:cs="仿宋_GB2312"/>
                <w:sz w:val="24"/>
                <w:szCs w:val="24"/>
              </w:rPr>
              <w:t>工作室同学自觉以社会主义核心价值观为引领，胸怀勇担民族复兴大任的责任感和使命感，遵纪守法，积极进取，团结互助，认真贯彻执行党和国家的各项方针政策。</w:t>
            </w:r>
          </w:p>
        </w:tc>
        <w:tc>
          <w:tcPr>
            <w:tcW w:w="98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20</w:t>
            </w:r>
          </w:p>
        </w:tc>
        <w:tc>
          <w:tcPr>
            <w:tcW w:w="859" w:type="dxa"/>
            <w:noWrap w:val="0"/>
            <w:vAlign w:val="center"/>
          </w:tcPr>
          <w:p>
            <w:pPr>
              <w:spacing w:line="560" w:lineRule="exact"/>
              <w:jc w:val="center"/>
              <w:rPr>
                <w:rFonts w:hint="eastAsia"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87" w:type="dxa"/>
            <w:noWrap w:val="0"/>
            <w:vAlign w:val="center"/>
          </w:tcPr>
          <w:p>
            <w:pPr>
              <w:spacing w:line="560" w:lineRule="exact"/>
              <w:jc w:val="center"/>
              <w:rPr>
                <w:rFonts w:hint="eastAsia" w:ascii="仿宋_GB2312" w:hAnsi="方正小标宋简体" w:eastAsia="仿宋_GB2312" w:cs="方正小标宋简体"/>
                <w:sz w:val="24"/>
                <w:szCs w:val="24"/>
              </w:rPr>
            </w:pPr>
            <w:r>
              <w:rPr>
                <w:rFonts w:hint="eastAsia" w:ascii="仿宋_GB2312" w:hAnsi="方正小标宋简体" w:eastAsia="仿宋_GB2312" w:cs="方正小标宋简体"/>
                <w:sz w:val="24"/>
                <w:szCs w:val="24"/>
              </w:rPr>
              <w:t>2</w:t>
            </w:r>
          </w:p>
        </w:tc>
        <w:tc>
          <w:tcPr>
            <w:tcW w:w="1194" w:type="dxa"/>
            <w:noWrap w:val="0"/>
            <w:vAlign w:val="center"/>
          </w:tcPr>
          <w:p>
            <w:pPr>
              <w:spacing w:line="560" w:lineRule="exact"/>
              <w:jc w:val="center"/>
              <w:rPr>
                <w:rFonts w:hint="eastAsia" w:ascii="仿宋_GB2312" w:hAnsi="仿宋" w:eastAsia="仿宋_GB2312" w:cs="仿宋"/>
                <w:sz w:val="24"/>
                <w:szCs w:val="24"/>
                <w:lang w:val="en-US" w:eastAsia="zh-CN"/>
              </w:rPr>
            </w:pPr>
            <w:r>
              <w:rPr>
                <w:rFonts w:hint="eastAsia" w:ascii="仿宋_GB2312" w:hAnsi="仿宋_GB2312" w:eastAsia="仿宋_GB2312" w:cs="仿宋_GB2312"/>
                <w:sz w:val="24"/>
                <w:szCs w:val="24"/>
              </w:rPr>
              <w:t>安全</w:t>
            </w:r>
            <w:r>
              <w:rPr>
                <w:rFonts w:hint="eastAsia" w:ascii="仿宋_GB2312" w:hAnsi="仿宋_GB2312" w:eastAsia="仿宋_GB2312" w:cs="仿宋_GB2312"/>
                <w:sz w:val="24"/>
                <w:szCs w:val="24"/>
                <w:lang w:val="en-US" w:eastAsia="zh-CN"/>
              </w:rPr>
              <w:t>意识</w:t>
            </w:r>
          </w:p>
        </w:tc>
        <w:tc>
          <w:tcPr>
            <w:tcW w:w="4668" w:type="dxa"/>
            <w:noWrap w:val="0"/>
            <w:vAlign w:val="center"/>
          </w:tcPr>
          <w:p>
            <w:pPr>
              <w:spacing w:line="400" w:lineRule="exact"/>
              <w:rPr>
                <w:rFonts w:hint="eastAsia" w:ascii="仿宋_GB2312" w:hAnsi="仿宋" w:eastAsia="仿宋_GB2312" w:cs="仿宋"/>
                <w:sz w:val="24"/>
                <w:szCs w:val="24"/>
              </w:rPr>
            </w:pPr>
            <w:r>
              <w:rPr>
                <w:rFonts w:hint="eastAsia" w:ascii="仿宋_GB2312" w:hAnsi="仿宋_GB2312" w:eastAsia="仿宋_GB2312" w:cs="仿宋_GB2312"/>
                <w:sz w:val="24"/>
                <w:szCs w:val="24"/>
              </w:rPr>
              <w:t>工作室同学牢固树立“安全第一”的思想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工作室</w:t>
            </w:r>
            <w:r>
              <w:rPr>
                <w:rFonts w:hint="eastAsia" w:ascii="仿宋_GB2312" w:hAnsi="仿宋_GB2312" w:eastAsia="仿宋_GB2312" w:cs="仿宋_GB2312"/>
                <w:sz w:val="24"/>
                <w:szCs w:val="24"/>
              </w:rPr>
              <w:t>内存在的不安全因素和事故隐患能够及时汇报并积极防范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不私拉乱接电线，无违章电器；遵守国家有关网络安全的法律、法规和行政规章制度，不利用计算机进行非法活动；不使用煤油炉、酒精炉等燃烧装置；不存放易燃、易爆、易腐和有毒危险品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不存放实验仪器设备。</w:t>
            </w:r>
          </w:p>
        </w:tc>
        <w:tc>
          <w:tcPr>
            <w:tcW w:w="98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lang w:val="en-US" w:eastAsia="zh-CN"/>
              </w:rPr>
              <w:t>3</w:t>
            </w:r>
            <w:r>
              <w:rPr>
                <w:rFonts w:hint="eastAsia" w:ascii="仿宋_GB2312" w:hAnsi="仿宋" w:eastAsia="仿宋_GB2312" w:cs="仿宋"/>
                <w:sz w:val="24"/>
                <w:szCs w:val="24"/>
              </w:rPr>
              <w:t>0</w:t>
            </w:r>
          </w:p>
        </w:tc>
        <w:tc>
          <w:tcPr>
            <w:tcW w:w="859" w:type="dxa"/>
            <w:noWrap w:val="0"/>
            <w:vAlign w:val="center"/>
          </w:tcPr>
          <w:p>
            <w:pPr>
              <w:spacing w:line="560" w:lineRule="exact"/>
              <w:jc w:val="center"/>
              <w:rPr>
                <w:rFonts w:hint="eastAsia"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887" w:type="dxa"/>
            <w:noWrap w:val="0"/>
            <w:vAlign w:val="center"/>
          </w:tcPr>
          <w:p>
            <w:pPr>
              <w:spacing w:line="560" w:lineRule="exact"/>
              <w:jc w:val="center"/>
              <w:rPr>
                <w:rFonts w:hint="eastAsia" w:ascii="仿宋_GB2312" w:hAnsi="方正小标宋简体" w:eastAsia="仿宋_GB2312" w:cs="方正小标宋简体"/>
                <w:sz w:val="24"/>
                <w:szCs w:val="24"/>
              </w:rPr>
            </w:pPr>
            <w:r>
              <w:rPr>
                <w:rFonts w:hint="eastAsia" w:ascii="仿宋_GB2312" w:hAnsi="方正小标宋简体" w:eastAsia="仿宋_GB2312" w:cs="方正小标宋简体"/>
                <w:sz w:val="24"/>
                <w:szCs w:val="24"/>
              </w:rPr>
              <w:t>3</w:t>
            </w:r>
          </w:p>
        </w:tc>
        <w:tc>
          <w:tcPr>
            <w:tcW w:w="119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_GB2312" w:eastAsia="仿宋_GB2312" w:cs="仿宋_GB2312"/>
                <w:sz w:val="24"/>
                <w:szCs w:val="24"/>
              </w:rPr>
              <w:t>环境秩序</w:t>
            </w:r>
          </w:p>
        </w:tc>
        <w:tc>
          <w:tcPr>
            <w:tcW w:w="4668" w:type="dxa"/>
            <w:noWrap w:val="0"/>
            <w:vAlign w:val="center"/>
          </w:tcPr>
          <w:p>
            <w:pPr>
              <w:spacing w:line="400" w:lineRule="exact"/>
              <w:rPr>
                <w:rFonts w:hint="eastAsia" w:ascii="仿宋_GB2312" w:hAnsi="仿宋" w:eastAsia="仿宋_GB2312" w:cs="仿宋"/>
                <w:sz w:val="24"/>
                <w:szCs w:val="24"/>
              </w:rPr>
            </w:pPr>
            <w:r>
              <w:rPr>
                <w:rFonts w:hint="eastAsia" w:ascii="仿宋_GB2312" w:hAnsi="仿宋_GB2312" w:eastAsia="仿宋_GB2312" w:cs="仿宋_GB2312"/>
                <w:sz w:val="24"/>
                <w:szCs w:val="24"/>
              </w:rPr>
              <w:t>工作室有相应的管理公约，有值日安排表；有专门负责日常事务管理的责任人；白天充分利用自然光，光线充足时关闭电灯，计算机等工作室设备在较长时间不用时处于关闭状态；工作室设备摆放整齐，工作室地面、桌椅、门窗、墙面干净整洁。</w:t>
            </w:r>
          </w:p>
        </w:tc>
        <w:tc>
          <w:tcPr>
            <w:tcW w:w="984" w:type="dxa"/>
            <w:noWrap w:val="0"/>
            <w:vAlign w:val="center"/>
          </w:tcPr>
          <w:p>
            <w:pPr>
              <w:spacing w:line="560" w:lineRule="exact"/>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30</w:t>
            </w:r>
          </w:p>
        </w:tc>
        <w:tc>
          <w:tcPr>
            <w:tcW w:w="859" w:type="dxa"/>
            <w:noWrap w:val="0"/>
            <w:vAlign w:val="center"/>
          </w:tcPr>
          <w:p>
            <w:pPr>
              <w:spacing w:line="560" w:lineRule="exact"/>
              <w:jc w:val="center"/>
              <w:rPr>
                <w:rFonts w:hint="eastAsia"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887" w:type="dxa"/>
            <w:noWrap w:val="0"/>
            <w:vAlign w:val="center"/>
          </w:tcPr>
          <w:p>
            <w:pPr>
              <w:spacing w:line="560" w:lineRule="exact"/>
              <w:jc w:val="center"/>
              <w:rPr>
                <w:rFonts w:hint="eastAsia" w:ascii="仿宋_GB2312" w:hAnsi="方正小标宋简体" w:eastAsia="仿宋_GB2312" w:cs="方正小标宋简体"/>
                <w:sz w:val="24"/>
                <w:szCs w:val="24"/>
              </w:rPr>
            </w:pPr>
            <w:r>
              <w:rPr>
                <w:rFonts w:hint="eastAsia" w:ascii="仿宋_GB2312" w:hAnsi="方正小标宋简体" w:eastAsia="仿宋_GB2312" w:cs="方正小标宋简体"/>
                <w:sz w:val="24"/>
                <w:szCs w:val="24"/>
              </w:rPr>
              <w:t>4</w:t>
            </w:r>
          </w:p>
        </w:tc>
        <w:tc>
          <w:tcPr>
            <w:tcW w:w="119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_GB2312" w:eastAsia="仿宋_GB2312" w:cs="仿宋_GB2312"/>
                <w:sz w:val="24"/>
                <w:szCs w:val="24"/>
              </w:rPr>
              <w:t>文化氛围</w:t>
            </w:r>
          </w:p>
        </w:tc>
        <w:tc>
          <w:tcPr>
            <w:tcW w:w="4668" w:type="dxa"/>
            <w:noWrap w:val="0"/>
            <w:vAlign w:val="center"/>
          </w:tcPr>
          <w:p>
            <w:pPr>
              <w:spacing w:line="400" w:lineRule="exact"/>
              <w:rPr>
                <w:rFonts w:hint="eastAsia" w:ascii="仿宋_GB2312" w:hAnsi="仿宋" w:eastAsia="仿宋_GB2312" w:cs="仿宋"/>
                <w:sz w:val="24"/>
                <w:szCs w:val="24"/>
              </w:rPr>
            </w:pPr>
            <w:r>
              <w:rPr>
                <w:rFonts w:hint="eastAsia" w:ascii="仿宋_GB2312" w:hAnsi="仿宋_GB2312" w:eastAsia="仿宋_GB2312" w:cs="仿宋_GB2312"/>
                <w:sz w:val="24"/>
                <w:szCs w:val="24"/>
              </w:rPr>
              <w:t>工作室导学关系和谐，工作室氛围温馨和睦，有体现专业特色的相关布置；利用重要节庆日、纪念日和重大活动，开展以爱国主义为核心的民族精神和以改革创新为核心的时代精神宣传教育；工作室有良好的学术氛围，科学精神与学术道德教育有计划、有措施，做到全员、全过程、全覆盖</w:t>
            </w:r>
            <w:r>
              <w:rPr>
                <w:rFonts w:hint="eastAsia" w:ascii="仿宋_GB2312" w:hAnsi="仿宋_GB2312" w:eastAsia="仿宋_GB2312" w:cs="仿宋_GB2312"/>
                <w:sz w:val="24"/>
                <w:szCs w:val="24"/>
                <w:lang w:eastAsia="zh-CN"/>
              </w:rPr>
              <w:t>。</w:t>
            </w:r>
          </w:p>
        </w:tc>
        <w:tc>
          <w:tcPr>
            <w:tcW w:w="98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20</w:t>
            </w:r>
          </w:p>
        </w:tc>
        <w:tc>
          <w:tcPr>
            <w:tcW w:w="859" w:type="dxa"/>
            <w:noWrap w:val="0"/>
            <w:vAlign w:val="center"/>
          </w:tcPr>
          <w:p>
            <w:pPr>
              <w:spacing w:line="560" w:lineRule="exact"/>
              <w:jc w:val="center"/>
              <w:rPr>
                <w:rFonts w:hint="eastAsia" w:ascii="仿宋_GB2312" w:hAnsi="仿宋" w:eastAsia="仿宋_GB2312" w:cs="仿宋"/>
                <w:sz w:val="24"/>
                <w:szCs w:val="24"/>
              </w:rPr>
            </w:pPr>
          </w:p>
        </w:tc>
      </w:tr>
    </w:tbl>
    <w:p>
      <w:pPr>
        <w:snapToGrid w:val="0"/>
        <w:spacing w:line="560" w:lineRule="exact"/>
        <w:contextualSpacing/>
        <w:jc w:val="center"/>
        <w:rPr>
          <w:rFonts w:hint="eastAsia" w:ascii="方正小标宋简体" w:hAnsi="黑体" w:eastAsia="方正小标宋简体" w:cs="仿宋_GB2312"/>
          <w:sz w:val="36"/>
          <w:szCs w:val="32"/>
        </w:rPr>
      </w:pPr>
    </w:p>
    <w:p>
      <w:pPr>
        <w:snapToGrid w:val="0"/>
        <w:spacing w:line="560" w:lineRule="exact"/>
        <w:contextualSpacing/>
        <w:jc w:val="center"/>
        <w:rPr>
          <w:rFonts w:hint="eastAsia" w:ascii="方正小标宋简体" w:hAnsi="黑体" w:eastAsia="方正小标宋简体" w:cs="仿宋_GB2312"/>
          <w:sz w:val="36"/>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314A7"/>
    <w:rsid w:val="18EF3635"/>
    <w:rsid w:val="223462C1"/>
    <w:rsid w:val="25264962"/>
    <w:rsid w:val="54B741BC"/>
    <w:rsid w:val="735943AB"/>
    <w:rsid w:val="7823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2021-11-04T02:54:00Z</dcterms:created>
  <dc:creator>w10</dc:creator>
  <cp:lastModifiedBy>徐艳惠</cp:lastModifiedBy>
  <dcterms:modified xsi:type="dcterms:W3CDTF">2021-11-19T02:02:58Z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1735A6C3C913474393A77F755ABBE29F</vt:lpwstr>
  </property>
</Properties>
</file>