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5297FF" w14:textId="15AACDED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rPr>
          <w:rFonts w:ascii="微软雅黑" w:eastAsia="微软雅黑" w:hAnsi="微软雅黑"/>
          <w:color w:val="333333"/>
        </w:rPr>
      </w:pPr>
      <w:r>
        <w:rPr>
          <w:rFonts w:ascii="微软雅黑" w:eastAsia="微软雅黑" w:hAnsi="微软雅黑" w:hint="eastAsia"/>
          <w:color w:val="333333"/>
        </w:rPr>
        <w:t> </w:t>
      </w:r>
      <w:r>
        <w:rPr>
          <w:rFonts w:hint="eastAsia"/>
          <w:b/>
          <w:bCs/>
          <w:color w:val="333333"/>
        </w:rPr>
        <w:t>三维集成电路的多层模块划分最优化算法</w:t>
      </w:r>
    </w:p>
    <w:p w14:paraId="139DF944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b/>
          <w:bCs/>
          <w:color w:val="333333"/>
        </w:rPr>
        <w:t>背景</w:t>
      </w:r>
    </w:p>
    <w:p w14:paraId="2E706146" w14:textId="77777777" w:rsidR="00C34C1B" w:rsidRDefault="00C34C1B" w:rsidP="00C34C1B">
      <w:pPr>
        <w:pStyle w:val="15"/>
        <w:numPr>
          <w:ilvl w:val="0"/>
          <w:numId w:val="1"/>
        </w:numPr>
        <w:shd w:val="clear" w:color="auto" w:fill="FFFFFF"/>
        <w:rPr>
          <w:rFonts w:ascii="微软雅黑" w:eastAsia="微软雅黑" w:hAnsi="微软雅黑"/>
          <w:color w:val="333333"/>
        </w:rPr>
      </w:pPr>
      <w:r>
        <w:rPr>
          <w:rFonts w:hint="eastAsia"/>
          <w:color w:val="333333"/>
        </w:rPr>
        <w:t>一个数字电路的Verilog</w:t>
      </w:r>
      <w:proofErr w:type="gramStart"/>
      <w:r>
        <w:rPr>
          <w:rFonts w:hint="eastAsia"/>
          <w:color w:val="333333"/>
        </w:rPr>
        <w:t>网表通常</w:t>
      </w:r>
      <w:proofErr w:type="gramEnd"/>
      <w:r>
        <w:rPr>
          <w:rFonts w:hint="eastAsia"/>
          <w:color w:val="333333"/>
        </w:rPr>
        <w:t>由多个模块（module）组成。模块内部的逻辑单元、寄存器之间有大量的连接。模块和模块之间也互相有信号的连接。当设计者在早期规划芯片的布图结构(Floorplan）的阶段，通常可以先忽略模块内部的连接，而更关注模块之间的连接关系。这样可以在不损失太多精度的同时，更快速地评估架构的可行性。</w:t>
      </w:r>
    </w:p>
    <w:p w14:paraId="28507D6B" w14:textId="77777777" w:rsidR="00C34C1B" w:rsidRDefault="00C34C1B" w:rsidP="00C34C1B">
      <w:pPr>
        <w:pStyle w:val="15"/>
        <w:numPr>
          <w:ilvl w:val="0"/>
          <w:numId w:val="1"/>
        </w:numPr>
        <w:shd w:val="clear" w:color="auto" w:fill="FFFFFF"/>
        <w:rPr>
          <w:rFonts w:ascii="微软雅黑" w:eastAsia="微软雅黑" w:hAnsi="微软雅黑"/>
          <w:color w:val="333333"/>
        </w:rPr>
      </w:pPr>
      <w:r>
        <w:rPr>
          <w:rFonts w:hint="eastAsia"/>
          <w:color w:val="333333"/>
        </w:rPr>
        <w:t>同时我们也需要考虑各个模块的面积（通常由该模块内部instance的总面积决定），使得这些模块在后端实现的布局布线阶段，能够在芯片的版图上得到合理的面积分配。</w:t>
      </w:r>
    </w:p>
    <w:p w14:paraId="32E8342F" w14:textId="77777777" w:rsidR="00C34C1B" w:rsidRDefault="00C34C1B" w:rsidP="00C34C1B">
      <w:pPr>
        <w:pStyle w:val="15"/>
        <w:numPr>
          <w:ilvl w:val="0"/>
          <w:numId w:val="1"/>
        </w:numPr>
        <w:shd w:val="clear" w:color="auto" w:fill="FFFFFF"/>
        <w:rPr>
          <w:rFonts w:ascii="微软雅黑" w:eastAsia="微软雅黑" w:hAnsi="微软雅黑"/>
          <w:color w:val="333333"/>
        </w:rPr>
      </w:pPr>
      <w:r>
        <w:rPr>
          <w:rFonts w:hint="eastAsia"/>
          <w:color w:val="333333"/>
        </w:rPr>
        <w:t>此处为了简化问题的形式，我们暂时忽略整个芯片对外的输入输出（I/O)而只考虑模块之间的连接。</w:t>
      </w:r>
    </w:p>
    <w:p w14:paraId="1126BF67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left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333333"/>
        </w:rPr>
        <w:t>例如，图1是拥有7个模块（</w:t>
      </w:r>
      <w:proofErr w:type="spellStart"/>
      <w:r>
        <w:rPr>
          <w:rFonts w:hint="eastAsia"/>
          <w:color w:val="333333"/>
        </w:rPr>
        <w:t>Verilogmodule</w:t>
      </w:r>
      <w:proofErr w:type="spellEnd"/>
      <w:r>
        <w:rPr>
          <w:rFonts w:hint="eastAsia"/>
          <w:color w:val="333333"/>
        </w:rPr>
        <w:t>，非</w:t>
      </w:r>
      <w:proofErr w:type="spellStart"/>
      <w:r>
        <w:rPr>
          <w:rFonts w:hint="eastAsia"/>
          <w:color w:val="333333"/>
        </w:rPr>
        <w:t>hardIPblock</w:t>
      </w:r>
      <w:proofErr w:type="spellEnd"/>
      <w:r>
        <w:rPr>
          <w:rFonts w:hint="eastAsia"/>
          <w:color w:val="333333"/>
        </w:rPr>
        <w:t>）的一个芯片。模块有不同大小的面积。模块之间的连接用线段表示，线段上的数字代表了连接的信号个数。</w:t>
      </w:r>
    </w:p>
    <w:p w14:paraId="16897B1B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left="480"/>
        <w:rPr>
          <w:rFonts w:ascii="微软雅黑" w:eastAsia="微软雅黑" w:hAnsi="微软雅黑"/>
          <w:color w:val="333333"/>
        </w:rPr>
      </w:pPr>
      <w:r>
        <w:rPr>
          <w:rFonts w:ascii="微软雅黑" w:eastAsia="微软雅黑" w:hAnsi="微软雅黑" w:hint="eastAsia"/>
          <w:color w:val="333333"/>
        </w:rPr>
        <w:t> </w:t>
      </w:r>
    </w:p>
    <w:p w14:paraId="3344867D" w14:textId="489C8828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jc w:val="center"/>
        <w:rPr>
          <w:rFonts w:ascii="微软雅黑" w:eastAsia="微软雅黑" w:hAnsi="微软雅黑"/>
          <w:color w:val="333333"/>
        </w:rPr>
      </w:pPr>
      <w:r>
        <w:rPr>
          <w:rFonts w:ascii="微软雅黑" w:eastAsia="微软雅黑" w:hAnsi="微软雅黑"/>
          <w:noProof/>
          <w:color w:val="333333"/>
        </w:rPr>
        <w:drawing>
          <wp:inline distT="0" distB="0" distL="0" distR="0" wp14:anchorId="4FDFED9E" wp14:editId="0B0136B6">
            <wp:extent cx="3409950" cy="282892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82E6B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jc w:val="center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图1:模块大小和连接关系的例子</w:t>
      </w:r>
    </w:p>
    <w:p w14:paraId="7449A3DF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b/>
          <w:bCs/>
          <w:color w:val="333333"/>
        </w:rPr>
        <w:t>三维集成电路与模块划分</w:t>
      </w:r>
    </w:p>
    <w:p w14:paraId="48209C85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left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用三维集成电路来实现一个芯片，会遇到的一个常见问题是：如何对整个芯片的电路模块进行划分，使这些模块被分配到多个裸片（Die）上。</w:t>
      </w:r>
    </w:p>
    <w:p w14:paraId="2621738F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left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lastRenderedPageBreak/>
        <w:t>下图是一个把电路划分成两部分，并分配到上下两个同样面积的裸片上的例子。划分之后，两部分电路之间的连接，通过裸片之间的堆叠工艺实现，比如常见的有Bump以及TSV（</w:t>
      </w:r>
      <w:proofErr w:type="spellStart"/>
      <w:r>
        <w:rPr>
          <w:rFonts w:hint="eastAsia"/>
          <w:color w:val="262626"/>
        </w:rPr>
        <w:t>ThroughSiliconVia</w:t>
      </w:r>
      <w:proofErr w:type="spellEnd"/>
      <w:r>
        <w:rPr>
          <w:rFonts w:hint="eastAsia"/>
          <w:color w:val="262626"/>
        </w:rPr>
        <w:t>）。</w:t>
      </w:r>
    </w:p>
    <w:p w14:paraId="6C5AF53C" w14:textId="43354CA1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left="480"/>
        <w:jc w:val="center"/>
        <w:rPr>
          <w:rFonts w:ascii="微软雅黑" w:eastAsia="微软雅黑" w:hAnsi="微软雅黑"/>
          <w:color w:val="333333"/>
        </w:rPr>
      </w:pPr>
      <w:r>
        <w:rPr>
          <w:rFonts w:ascii="微软雅黑" w:eastAsia="微软雅黑" w:hAnsi="微软雅黑"/>
          <w:noProof/>
          <w:color w:val="333333"/>
        </w:rPr>
        <w:drawing>
          <wp:inline distT="0" distB="0" distL="0" distR="0" wp14:anchorId="5CAB9D04" wp14:editId="77D1B5B8">
            <wp:extent cx="5274310" cy="145288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5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7EF927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left="480"/>
        <w:jc w:val="center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图2:划分到两个裸片的例子</w:t>
      </w:r>
    </w:p>
    <w:p w14:paraId="3A293ED6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rPr>
          <w:rFonts w:ascii="微软雅黑" w:eastAsia="微软雅黑" w:hAnsi="微软雅黑"/>
          <w:color w:val="333333"/>
        </w:rPr>
      </w:pPr>
      <w:r>
        <w:rPr>
          <w:rFonts w:ascii="微软雅黑" w:eastAsia="微软雅黑" w:hAnsi="微软雅黑" w:hint="eastAsia"/>
          <w:color w:val="333333"/>
        </w:rPr>
        <w:t> </w:t>
      </w:r>
    </w:p>
    <w:p w14:paraId="5B5C6059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b/>
          <w:bCs/>
          <w:color w:val="333333"/>
        </w:rPr>
        <w:t>关于TSV</w:t>
      </w:r>
    </w:p>
    <w:p w14:paraId="01E9108D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left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TSV提供了信号穿越裸片衬底的通路。但是它自身也需要占据一部分面积，因此也必须考虑到TSV带来的额外的面积需求。</w:t>
      </w:r>
    </w:p>
    <w:p w14:paraId="652C9902" w14:textId="77AD3BD9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jc w:val="center"/>
        <w:rPr>
          <w:rFonts w:ascii="微软雅黑" w:eastAsia="微软雅黑" w:hAnsi="微软雅黑"/>
          <w:color w:val="333333"/>
        </w:rPr>
      </w:pPr>
      <w:r>
        <w:rPr>
          <w:rFonts w:ascii="微软雅黑" w:eastAsia="微软雅黑" w:hAnsi="微软雅黑"/>
          <w:noProof/>
          <w:color w:val="333333"/>
        </w:rPr>
        <w:drawing>
          <wp:inline distT="0" distB="0" distL="0" distR="0" wp14:anchorId="3EB37B65" wp14:editId="6FDFCC4B">
            <wp:extent cx="5274310" cy="1592580"/>
            <wp:effectExtent l="0" t="0" r="254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6CCE0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jc w:val="center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图3:TSV示例</w:t>
      </w:r>
    </w:p>
    <w:p w14:paraId="691E9479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当多层裸片堆叠时，</w:t>
      </w:r>
      <w:proofErr w:type="gramStart"/>
      <w:r>
        <w:rPr>
          <w:rFonts w:hint="eastAsia"/>
          <w:color w:val="262626"/>
        </w:rPr>
        <w:t>凡裸片</w:t>
      </w:r>
      <w:proofErr w:type="gramEnd"/>
      <w:r>
        <w:rPr>
          <w:rFonts w:hint="eastAsia"/>
          <w:color w:val="262626"/>
        </w:rPr>
        <w:t>和</w:t>
      </w:r>
      <w:proofErr w:type="gramStart"/>
      <w:r>
        <w:rPr>
          <w:rFonts w:hint="eastAsia"/>
          <w:color w:val="262626"/>
        </w:rPr>
        <w:t>裸片</w:t>
      </w:r>
      <w:proofErr w:type="gramEnd"/>
      <w:r>
        <w:rPr>
          <w:rFonts w:hint="eastAsia"/>
          <w:color w:val="262626"/>
        </w:rPr>
        <w:t>界面处穿过衬底的地方需要TSV。</w:t>
      </w:r>
    </w:p>
    <w:p w14:paraId="5532E3C3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rPr>
          <w:rFonts w:ascii="微软雅黑" w:eastAsia="微软雅黑" w:hAnsi="微软雅黑"/>
          <w:color w:val="333333"/>
        </w:rPr>
      </w:pPr>
      <w:r>
        <w:rPr>
          <w:rFonts w:ascii="微软雅黑" w:eastAsia="微软雅黑" w:hAnsi="微软雅黑" w:hint="eastAsia"/>
          <w:color w:val="333333"/>
        </w:rPr>
        <w:t> </w:t>
      </w:r>
    </w:p>
    <w:p w14:paraId="1C5888B5" w14:textId="6CD116FB" w:rsidR="00C34C1B" w:rsidRDefault="00C34C1B" w:rsidP="00C34C1B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微软雅黑" w:eastAsia="微软雅黑" w:hAnsi="微软雅黑"/>
          <w:color w:val="333333"/>
        </w:rPr>
      </w:pPr>
      <w:r>
        <w:rPr>
          <w:rFonts w:ascii="微软雅黑" w:eastAsia="微软雅黑" w:hAnsi="微软雅黑"/>
          <w:noProof/>
          <w:color w:val="333333"/>
        </w:rPr>
        <w:drawing>
          <wp:inline distT="0" distB="0" distL="0" distR="0" wp14:anchorId="06919C79" wp14:editId="07EB66BD">
            <wp:extent cx="5274310" cy="124460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4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814B91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jc w:val="center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图4:多层</w:t>
      </w:r>
      <w:proofErr w:type="gramStart"/>
      <w:r>
        <w:rPr>
          <w:rFonts w:hint="eastAsia"/>
          <w:color w:val="262626"/>
        </w:rPr>
        <w:t>裸片间的</w:t>
      </w:r>
      <w:proofErr w:type="gramEnd"/>
      <w:r>
        <w:rPr>
          <w:rFonts w:hint="eastAsia"/>
          <w:color w:val="262626"/>
        </w:rPr>
        <w:t>TSV</w:t>
      </w:r>
    </w:p>
    <w:p w14:paraId="7A3CBBE9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b/>
          <w:bCs/>
          <w:color w:val="333333"/>
        </w:rPr>
        <w:lastRenderedPageBreak/>
        <w:t>关于Feedthrough</w:t>
      </w:r>
    </w:p>
    <w:p w14:paraId="0701C95E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当多层裸片堆叠时，比方说3层：从第一层到第三层的信号连接，即使在逻辑上并没有和第二层的模块有任何关系，物理上也必须穿过第二层，即Feedthrough。从而有可能会产生额外的TSV。</w:t>
      </w:r>
    </w:p>
    <w:p w14:paraId="6A96C807" w14:textId="46CB49A9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jc w:val="center"/>
        <w:rPr>
          <w:rFonts w:ascii="微软雅黑" w:eastAsia="微软雅黑" w:hAnsi="微软雅黑"/>
          <w:color w:val="333333"/>
        </w:rPr>
      </w:pPr>
      <w:r>
        <w:rPr>
          <w:rFonts w:ascii="微软雅黑" w:eastAsia="微软雅黑" w:hAnsi="微软雅黑"/>
          <w:noProof/>
          <w:color w:val="333333"/>
        </w:rPr>
        <w:drawing>
          <wp:inline distT="0" distB="0" distL="0" distR="0" wp14:anchorId="1B2C8C13" wp14:editId="74283D79">
            <wp:extent cx="5274310" cy="152781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2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4AD2E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jc w:val="center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图5:Feedthrough</w:t>
      </w:r>
    </w:p>
    <w:p w14:paraId="3DF4821F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b/>
          <w:bCs/>
          <w:color w:val="333333"/>
        </w:rPr>
        <w:t>约束条件</w:t>
      </w:r>
    </w:p>
    <w:p w14:paraId="6830B2E1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三维划分需要考虑的硬性约束条件有：</w:t>
      </w:r>
    </w:p>
    <w:p w14:paraId="2F4B56DA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0000FF"/>
        </w:rPr>
        <w:t>1.一个裸片上所有模块的总面积，加上这个裸片上所需的TSV的总面积，不能超过裸片的面积，</w:t>
      </w:r>
      <w:proofErr w:type="gramStart"/>
      <w:r>
        <w:rPr>
          <w:rFonts w:hint="eastAsia"/>
          <w:color w:val="0000FF"/>
        </w:rPr>
        <w:t>即面积</w:t>
      </w:r>
      <w:proofErr w:type="gramEnd"/>
      <w:r>
        <w:rPr>
          <w:rFonts w:hint="eastAsia"/>
          <w:color w:val="0000FF"/>
        </w:rPr>
        <w:t>利用率不能超过100%。</w:t>
      </w:r>
    </w:p>
    <w:p w14:paraId="784FBF5C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0000FF"/>
        </w:rPr>
        <w:t>2.相邻两个裸片的界面上，可容纳的Bump/TSV的数量是有上限的。</w:t>
      </w:r>
    </w:p>
    <w:p w14:paraId="266D2848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b/>
          <w:bCs/>
          <w:color w:val="333333"/>
        </w:rPr>
        <w:t>约束条件的例子</w:t>
      </w:r>
    </w:p>
    <w:p w14:paraId="44AF0F5F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下图是面积约束条件的一个例子（假设每根线代表100个信号）：</w:t>
      </w:r>
    </w:p>
    <w:p w14:paraId="0AED98B7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如果不考虑面积，左边的划分是最好的，因为只需要200个bump。但是第一层的模块总面积已经</w:t>
      </w:r>
      <w:proofErr w:type="gramStart"/>
      <w:r>
        <w:rPr>
          <w:rFonts w:hint="eastAsia"/>
          <w:color w:val="262626"/>
        </w:rPr>
        <w:t>超过了裸片</w:t>
      </w:r>
      <w:proofErr w:type="gramEnd"/>
      <w:r>
        <w:rPr>
          <w:rFonts w:hint="eastAsia"/>
          <w:color w:val="262626"/>
        </w:rPr>
        <w:t>面积。</w:t>
      </w:r>
    </w:p>
    <w:p w14:paraId="580858DB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此时采用右边的方案，bump数量增加到了500个，但只要仍然小于两个die之间所能容纳bump数量的上限，同时模块总面积也并没有超过裸片面积，则仍然是可行的。</w:t>
      </w:r>
    </w:p>
    <w:p w14:paraId="5345A21F" w14:textId="2FC5BB19" w:rsidR="00C34C1B" w:rsidRDefault="00C34C1B" w:rsidP="00C34C1B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微软雅黑" w:eastAsia="微软雅黑" w:hAnsi="微软雅黑"/>
          <w:color w:val="333333"/>
        </w:rPr>
      </w:pPr>
      <w:r>
        <w:rPr>
          <w:rFonts w:ascii="微软雅黑" w:eastAsia="微软雅黑" w:hAnsi="微软雅黑"/>
          <w:noProof/>
          <w:color w:val="333333"/>
        </w:rPr>
        <w:drawing>
          <wp:inline distT="0" distB="0" distL="0" distR="0" wp14:anchorId="17067EA2" wp14:editId="62D8BC89">
            <wp:extent cx="5274310" cy="219837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9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973ED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b/>
          <w:bCs/>
          <w:color w:val="333333"/>
        </w:rPr>
        <w:t>题目要求</w:t>
      </w:r>
    </w:p>
    <w:p w14:paraId="35911DD2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lastRenderedPageBreak/>
        <w:t>对于主办方给定的：</w:t>
      </w:r>
    </w:p>
    <w:p w14:paraId="1B31C926" w14:textId="77777777" w:rsidR="00C34C1B" w:rsidRDefault="00C34C1B" w:rsidP="00C34C1B">
      <w:pPr>
        <w:pStyle w:val="15"/>
        <w:numPr>
          <w:ilvl w:val="0"/>
          <w:numId w:val="2"/>
        </w:numPr>
        <w:shd w:val="clear" w:color="auto" w:fill="FFFFFF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000000"/>
        </w:rPr>
        <w:t>模块连接图（包含模块面积以及连接关系和信号数量）</w:t>
      </w:r>
    </w:p>
    <w:p w14:paraId="5FFE71B2" w14:textId="77777777" w:rsidR="00C34C1B" w:rsidRDefault="00C34C1B" w:rsidP="00C34C1B">
      <w:pPr>
        <w:pStyle w:val="15"/>
        <w:numPr>
          <w:ilvl w:val="0"/>
          <w:numId w:val="2"/>
        </w:numPr>
        <w:shd w:val="clear" w:color="auto" w:fill="FFFFFF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000000"/>
        </w:rPr>
        <w:t>裸片尺寸、TSV单位尺寸</w:t>
      </w:r>
    </w:p>
    <w:p w14:paraId="3F5CB106" w14:textId="77777777" w:rsidR="00C34C1B" w:rsidRDefault="00C34C1B" w:rsidP="00C34C1B">
      <w:pPr>
        <w:pStyle w:val="15"/>
        <w:numPr>
          <w:ilvl w:val="0"/>
          <w:numId w:val="2"/>
        </w:numPr>
        <w:shd w:val="clear" w:color="auto" w:fill="FFFFFF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000000"/>
        </w:rPr>
        <w:t>相邻两个Die之间的Bump/TSV数量上限（为简化题目，假设Bump和TSV的数量上限相同）</w:t>
      </w:r>
    </w:p>
    <w:p w14:paraId="62001A94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要求把所有模块划分到3个裸片上。不考虑整个芯片对外的I/O。堆叠方向如图所示，灰色表示衬底：</w:t>
      </w:r>
    </w:p>
    <w:p w14:paraId="39089315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ascii="微软雅黑" w:eastAsia="微软雅黑" w:hAnsi="微软雅黑" w:hint="eastAsia"/>
          <w:color w:val="333333"/>
        </w:rPr>
        <w:t> </w:t>
      </w:r>
    </w:p>
    <w:p w14:paraId="18FF5503" w14:textId="5C710BE1" w:rsidR="00C34C1B" w:rsidRDefault="00C34C1B" w:rsidP="00C34C1B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微软雅黑" w:eastAsia="微软雅黑" w:hAnsi="微软雅黑"/>
          <w:color w:val="333333"/>
        </w:rPr>
      </w:pPr>
      <w:r>
        <w:rPr>
          <w:rFonts w:ascii="微软雅黑" w:eastAsia="微软雅黑" w:hAnsi="微软雅黑"/>
          <w:noProof/>
          <w:color w:val="333333"/>
        </w:rPr>
        <w:drawing>
          <wp:inline distT="0" distB="0" distL="0" distR="0" wp14:anchorId="6F34DC7F" wp14:editId="0942A2ED">
            <wp:extent cx="3962400" cy="24003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D1967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jc w:val="center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图7:堆叠方向</w:t>
      </w:r>
    </w:p>
    <w:p w14:paraId="72743891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在满足硬性约束条件下，最优化以下两个目标：</w:t>
      </w:r>
    </w:p>
    <w:p w14:paraId="6FAAFCB2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0000FF"/>
        </w:rPr>
        <w:t>1.3个裸片上模块的面积</w:t>
      </w:r>
      <w:r>
        <w:rPr>
          <w:rFonts w:hint="eastAsia"/>
          <w:b/>
          <w:bCs/>
          <w:color w:val="0000FF"/>
        </w:rPr>
        <w:t>利用率</w:t>
      </w:r>
      <w:r>
        <w:rPr>
          <w:rFonts w:hint="eastAsia"/>
          <w:color w:val="0000FF"/>
        </w:rPr>
        <w:t>尽可能相同。避免出现有些裸片过于拥挤而有些裸片大片空白的情况。利用率=（模块总面积+TSV总面积）÷裸片面积</w:t>
      </w:r>
    </w:p>
    <w:p w14:paraId="0DAD39C5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0000FF"/>
        </w:rPr>
        <w:t>2.</w:t>
      </w:r>
      <w:proofErr w:type="gramStart"/>
      <w:r>
        <w:rPr>
          <w:rFonts w:hint="eastAsia"/>
          <w:color w:val="0000FF"/>
        </w:rPr>
        <w:t>裸片间</w:t>
      </w:r>
      <w:proofErr w:type="gramEnd"/>
      <w:r>
        <w:rPr>
          <w:rFonts w:hint="eastAsia"/>
          <w:color w:val="0000FF"/>
        </w:rPr>
        <w:t>bump/TSV数量尽可能少。</w:t>
      </w:r>
    </w:p>
    <w:p w14:paraId="498DECD8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b/>
          <w:bCs/>
          <w:color w:val="333333"/>
        </w:rPr>
        <w:t>附加题——考虑模块布局与总线长</w:t>
      </w:r>
    </w:p>
    <w:p w14:paraId="64C3EFBC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基本</w:t>
      </w:r>
      <w:proofErr w:type="gramStart"/>
      <w:r>
        <w:rPr>
          <w:rFonts w:hint="eastAsia"/>
          <w:color w:val="262626"/>
        </w:rPr>
        <w:t>题并不</w:t>
      </w:r>
      <w:proofErr w:type="gramEnd"/>
      <w:r>
        <w:rPr>
          <w:rFonts w:hint="eastAsia"/>
          <w:color w:val="262626"/>
        </w:rPr>
        <w:t>考虑模块在版图上的具体位置，只计算其面积和连接数。附加题要求提出一种算法并尝试实现：</w:t>
      </w:r>
      <w:r>
        <w:rPr>
          <w:rFonts w:hint="eastAsia"/>
          <w:color w:val="0000FF"/>
        </w:rPr>
        <w:t>在考虑模块布局（无缝铺满整个裸片区域，形状可以是矩形或直角多边形，如图8所示）的前提下，使总线长最短。</w:t>
      </w:r>
    </w:p>
    <w:p w14:paraId="4BD0F442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注1：由于利用率总是小于100%，因此铺满后每个模块的占地面积将大于它的初始面积。但不可小于初始面积。</w:t>
      </w:r>
    </w:p>
    <w:p w14:paraId="2A377693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注2：总线长的计算用模块</w:t>
      </w:r>
      <w:r>
        <w:rPr>
          <w:rFonts w:hint="eastAsia"/>
          <w:b/>
          <w:bCs/>
          <w:color w:val="262626"/>
        </w:rPr>
        <w:t>几何中心</w:t>
      </w:r>
      <w:r>
        <w:rPr>
          <w:rFonts w:hint="eastAsia"/>
          <w:color w:val="262626"/>
        </w:rPr>
        <w:t>之间的</w:t>
      </w:r>
      <w:r>
        <w:rPr>
          <w:rFonts w:hint="eastAsia"/>
          <w:b/>
          <w:bCs/>
          <w:color w:val="262626"/>
        </w:rPr>
        <w:t>水平距离</w:t>
      </w:r>
      <w:r>
        <w:rPr>
          <w:rFonts w:hint="eastAsia"/>
          <w:color w:val="262626"/>
        </w:rPr>
        <w:t>来简化。</w:t>
      </w:r>
    </w:p>
    <w:p w14:paraId="2CCC9CC7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注3：TSV假设均布在裸片上，可先不考虑其具体位置，但面积需算入。</w:t>
      </w:r>
    </w:p>
    <w:p w14:paraId="40A73AAF" w14:textId="62955DDE" w:rsidR="00C34C1B" w:rsidRDefault="00C34C1B" w:rsidP="00C34C1B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微软雅黑" w:eastAsia="微软雅黑" w:hAnsi="微软雅黑"/>
          <w:color w:val="333333"/>
        </w:rPr>
      </w:pPr>
      <w:r>
        <w:rPr>
          <w:rFonts w:ascii="微软雅黑" w:eastAsia="微软雅黑" w:hAnsi="微软雅黑"/>
          <w:noProof/>
          <w:color w:val="333333"/>
        </w:rPr>
        <w:lastRenderedPageBreak/>
        <w:drawing>
          <wp:inline distT="0" distB="0" distL="0" distR="0" wp14:anchorId="59FBF78F" wp14:editId="0120CE42">
            <wp:extent cx="5274310" cy="175577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334D9" w14:textId="77777777" w:rsidR="00C34C1B" w:rsidRDefault="00C34C1B" w:rsidP="00C34C1B">
      <w:pPr>
        <w:pStyle w:val="15"/>
        <w:shd w:val="clear" w:color="auto" w:fill="FFFFFF"/>
        <w:spacing w:before="0" w:beforeAutospacing="0" w:after="150" w:afterAutospacing="0"/>
        <w:ind w:firstLine="480"/>
        <w:jc w:val="center"/>
        <w:rPr>
          <w:rFonts w:ascii="微软雅黑" w:eastAsia="微软雅黑" w:hAnsi="微软雅黑"/>
          <w:color w:val="333333"/>
        </w:rPr>
      </w:pPr>
      <w:r>
        <w:rPr>
          <w:rFonts w:hint="eastAsia"/>
          <w:color w:val="262626"/>
        </w:rPr>
        <w:t>图8:模块布局与总线长</w:t>
      </w:r>
    </w:p>
    <w:p w14:paraId="13AADCB4" w14:textId="77777777" w:rsidR="007D0FF5" w:rsidRDefault="007D0FF5"/>
    <w:sectPr w:rsidR="007D0FF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01C6D45"/>
    <w:multiLevelType w:val="multilevel"/>
    <w:tmpl w:val="5DF63C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18F6F4D"/>
    <w:multiLevelType w:val="multilevel"/>
    <w:tmpl w:val="4420EB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1886"/>
    <w:rsid w:val="000C3270"/>
    <w:rsid w:val="000D7D1E"/>
    <w:rsid w:val="001D6252"/>
    <w:rsid w:val="007D0FF5"/>
    <w:rsid w:val="00C34C1B"/>
    <w:rsid w:val="00E11886"/>
    <w:rsid w:val="00FC2F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4DE6DD"/>
  <w15:chartTrackingRefBased/>
  <w15:docId w15:val="{B35C69B6-2DC0-4833-9B57-645088D433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5">
    <w:name w:val="15"/>
    <w:basedOn w:val="a"/>
    <w:rsid w:val="00C34C1B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3">
    <w:name w:val="Normal (Web)"/>
    <w:basedOn w:val="a"/>
    <w:uiPriority w:val="99"/>
    <w:semiHidden/>
    <w:unhideWhenUsed/>
    <w:rsid w:val="00C34C1B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7960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249</Words>
  <Characters>1424</Characters>
  <Application>Microsoft Office Word</Application>
  <DocSecurity>0</DocSecurity>
  <Lines>11</Lines>
  <Paragraphs>3</Paragraphs>
  <ScaleCrop>false</ScaleCrop>
  <Company/>
  <LinksUpToDate>false</LinksUpToDate>
  <CharactersWithSpaces>1670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杨 洋</dc:creator>
  <cp:keywords/>
  <dc:description/>
  <cp:lastModifiedBy>杨 洋</cp:lastModifiedBy>
  <cp:revision>3</cp:revision>
  <dcterms:created xsi:type="dcterms:W3CDTF">2022-04-02T07:08:00Z</dcterms:created>
  <dcterms:modified xsi:type="dcterms:W3CDTF">2022-04-02T07:10:00Z</dcterms:modified>
</cp:coreProperties>
</file>