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黑体" w:hAnsi="黑体" w:eastAsia="黑体" w:cs="黑体"/>
          <w:b/>
          <w:bCs/>
          <w:i w:val="0"/>
          <w:iCs w:val="0"/>
          <w:caps w:val="0"/>
          <w:color w:val="333333"/>
          <w:spacing w:val="0"/>
          <w:sz w:val="32"/>
          <w:szCs w:val="32"/>
          <w:shd w:val="clear" w:fill="FFFFFF"/>
        </w:rPr>
      </w:pPr>
      <w:bookmarkStart w:id="0" w:name="_GoBack"/>
      <w:r>
        <w:rPr>
          <w:rFonts w:hint="eastAsia" w:ascii="黑体" w:hAnsi="黑体" w:eastAsia="黑体" w:cs="黑体"/>
          <w:b/>
          <w:bCs/>
          <w:i w:val="0"/>
          <w:iCs w:val="0"/>
          <w:caps w:val="0"/>
          <w:color w:val="333333"/>
          <w:spacing w:val="0"/>
          <w:sz w:val="32"/>
          <w:szCs w:val="32"/>
          <w:shd w:val="clear" w:fill="FFFFFF"/>
        </w:rPr>
        <w:t>“兆易创新杯”第十八届研究生电子设计竞赛参赛说明</w:t>
      </w:r>
    </w:p>
    <w:bookmarkEnd w:id="0"/>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黑体" w:hAnsi="黑体" w:eastAsia="黑体" w:cs="黑体"/>
          <w:i w:val="0"/>
          <w:iCs w:val="0"/>
          <w:caps w:val="0"/>
          <w:color w:val="333333"/>
          <w:spacing w:val="0"/>
          <w:sz w:val="28"/>
          <w:szCs w:val="28"/>
        </w:rPr>
      </w:pPr>
      <w:r>
        <w:rPr>
          <w:rFonts w:hint="eastAsia" w:ascii="黑体" w:hAnsi="黑体" w:eastAsia="黑体" w:cs="黑体"/>
          <w:b/>
          <w:bCs/>
          <w:i w:val="0"/>
          <w:iCs w:val="0"/>
          <w:caps w:val="0"/>
          <w:color w:val="333333"/>
          <w:spacing w:val="-6"/>
          <w:sz w:val="28"/>
          <w:szCs w:val="28"/>
          <w:shd w:val="clear" w:fill="FFFFFF"/>
        </w:rPr>
        <w:t>一、竞赛时间</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default" w:ascii="Times New Roman" w:hAnsi="Times New Roman" w:cs="Times New Roman" w:eastAsiaTheme="minorEastAsia"/>
          <w:i w:val="0"/>
          <w:iCs w:val="0"/>
          <w:caps w:val="0"/>
          <w:color w:val="333333"/>
          <w:spacing w:val="0"/>
          <w:sz w:val="24"/>
          <w:szCs w:val="24"/>
        </w:rPr>
      </w:pPr>
      <w:r>
        <w:rPr>
          <w:rFonts w:hint="default" w:ascii="Times New Roman" w:hAnsi="Times New Roman" w:cs="Times New Roman" w:eastAsiaTheme="minorEastAsia"/>
          <w:i w:val="0"/>
          <w:iCs w:val="0"/>
          <w:caps w:val="0"/>
          <w:color w:val="333333"/>
          <w:spacing w:val="-6"/>
          <w:sz w:val="24"/>
          <w:szCs w:val="24"/>
          <w:shd w:val="clear" w:fill="FFFFFF"/>
        </w:rPr>
        <w:t>开赛时间：2023年3月</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default" w:ascii="Times New Roman" w:hAnsi="Times New Roman" w:cs="Times New Roman" w:eastAsiaTheme="minorEastAsia"/>
          <w:i w:val="0"/>
          <w:iCs w:val="0"/>
          <w:caps w:val="0"/>
          <w:color w:val="333333"/>
          <w:spacing w:val="0"/>
          <w:sz w:val="24"/>
          <w:szCs w:val="24"/>
        </w:rPr>
      </w:pPr>
      <w:r>
        <w:rPr>
          <w:rFonts w:hint="default" w:ascii="Times New Roman" w:hAnsi="Times New Roman" w:cs="Times New Roman" w:eastAsiaTheme="minorEastAsia"/>
          <w:i w:val="0"/>
          <w:iCs w:val="0"/>
          <w:caps w:val="0"/>
          <w:color w:val="333333"/>
          <w:spacing w:val="-6"/>
          <w:sz w:val="24"/>
          <w:szCs w:val="24"/>
          <w:shd w:val="clear" w:fill="FFFFFF"/>
        </w:rPr>
        <w:t>报名截止：2023年6月20日</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default" w:ascii="Times New Roman" w:hAnsi="Times New Roman" w:cs="Times New Roman" w:eastAsiaTheme="minorEastAsia"/>
          <w:i w:val="0"/>
          <w:iCs w:val="0"/>
          <w:caps w:val="0"/>
          <w:color w:val="333333"/>
          <w:spacing w:val="0"/>
          <w:sz w:val="24"/>
          <w:szCs w:val="24"/>
        </w:rPr>
      </w:pPr>
      <w:r>
        <w:rPr>
          <w:rFonts w:hint="default" w:ascii="Times New Roman" w:hAnsi="Times New Roman" w:cs="Times New Roman" w:eastAsiaTheme="minorEastAsia"/>
          <w:i w:val="0"/>
          <w:iCs w:val="0"/>
          <w:caps w:val="0"/>
          <w:color w:val="333333"/>
          <w:spacing w:val="-6"/>
          <w:sz w:val="24"/>
          <w:szCs w:val="24"/>
          <w:shd w:val="clear" w:fill="FFFFFF"/>
        </w:rPr>
        <w:t>初赛、决赛时间：预计7月初举办初赛，8月中旬举办全国总决赛。</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黑体" w:hAnsi="黑体" w:eastAsia="黑体" w:cs="黑体"/>
          <w:i w:val="0"/>
          <w:iCs w:val="0"/>
          <w:caps w:val="0"/>
          <w:color w:val="333333"/>
          <w:spacing w:val="0"/>
          <w:sz w:val="24"/>
          <w:szCs w:val="24"/>
        </w:rPr>
      </w:pPr>
      <w:r>
        <w:rPr>
          <w:rFonts w:hint="eastAsia" w:ascii="黑体" w:hAnsi="黑体" w:eastAsia="黑体" w:cs="黑体"/>
          <w:i w:val="0"/>
          <w:iCs w:val="0"/>
          <w:caps w:val="0"/>
          <w:color w:val="333333"/>
          <w:spacing w:val="0"/>
          <w:sz w:val="24"/>
          <w:szCs w:val="24"/>
          <w:shd w:val="clear" w:fill="FFFFFF"/>
        </w:rPr>
        <w:t> </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黑体" w:hAnsi="黑体" w:eastAsia="黑体" w:cs="黑体"/>
          <w:b/>
          <w:bCs/>
          <w:i w:val="0"/>
          <w:iCs w:val="0"/>
          <w:caps w:val="0"/>
          <w:color w:val="333333"/>
          <w:spacing w:val="-6"/>
          <w:sz w:val="28"/>
          <w:szCs w:val="28"/>
          <w:shd w:val="clear" w:fill="FFFFFF"/>
        </w:rPr>
      </w:pPr>
      <w:r>
        <w:rPr>
          <w:rFonts w:hint="eastAsia" w:ascii="黑体" w:hAnsi="黑体" w:eastAsia="黑体" w:cs="黑体"/>
          <w:b/>
          <w:bCs/>
          <w:i w:val="0"/>
          <w:iCs w:val="0"/>
          <w:caps w:val="0"/>
          <w:color w:val="333333"/>
          <w:spacing w:val="-6"/>
          <w:sz w:val="28"/>
          <w:szCs w:val="28"/>
          <w:shd w:val="clear" w:fill="FFFFFF"/>
        </w:rPr>
        <w:t>二、赛区划分 </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第十八届中国研究生电子设计竞赛全国划分八大赛区：</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东北分赛区：黑龙江省、吉林省、辽宁省</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华北分赛区：北京市、天津市、河北省、山东省、山西省、内蒙古自治区</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西北分赛区：陕西省、甘肃省、青海省、宁夏回族自治区、新疆维吾尔自治区</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华中分赛区：湖北省、湖南省、河南省、江西省</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华东分赛区：江苏省、安徽省、浙江省、福建省、台湾地区</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上海分赛区：上海市</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华南分赛区：广东省、广西壮族自治区、海南省、香港特别行政区、澳门特别行政区</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西南分赛区：四川省、重庆市、贵州省、云南省、西藏自治区</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 </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黑体" w:hAnsi="黑体" w:eastAsia="黑体" w:cs="黑体"/>
          <w:i w:val="0"/>
          <w:iCs w:val="0"/>
          <w:caps w:val="0"/>
          <w:color w:val="333333"/>
          <w:spacing w:val="0"/>
          <w:sz w:val="24"/>
          <w:szCs w:val="24"/>
        </w:rPr>
      </w:pPr>
      <w:r>
        <w:rPr>
          <w:rFonts w:hint="eastAsia" w:ascii="黑体" w:hAnsi="黑体" w:eastAsia="黑体" w:cs="黑体"/>
          <w:b/>
          <w:bCs/>
          <w:i w:val="0"/>
          <w:iCs w:val="0"/>
          <w:caps w:val="0"/>
          <w:color w:val="333333"/>
          <w:spacing w:val="-6"/>
          <w:sz w:val="28"/>
          <w:szCs w:val="28"/>
          <w:shd w:val="clear" w:fill="FFFFFF"/>
        </w:rPr>
        <w:t>三、组织机构</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黑体" w:hAnsi="黑体" w:eastAsia="黑体" w:cs="黑体"/>
          <w:i w:val="0"/>
          <w:iCs w:val="0"/>
          <w:caps w:val="0"/>
          <w:color w:val="333333"/>
          <w:spacing w:val="0"/>
          <w:sz w:val="22"/>
          <w:szCs w:val="22"/>
        </w:rPr>
      </w:pPr>
      <w:r>
        <w:rPr>
          <w:rFonts w:hint="eastAsia" w:ascii="黑体" w:hAnsi="黑体" w:eastAsia="黑体" w:cs="黑体"/>
          <w:b/>
          <w:bCs/>
          <w:i w:val="0"/>
          <w:iCs w:val="0"/>
          <w:caps w:val="0"/>
          <w:color w:val="333333"/>
          <w:spacing w:val="-6"/>
          <w:sz w:val="24"/>
          <w:szCs w:val="24"/>
          <w:shd w:val="clear" w:fill="FFFFFF"/>
        </w:rPr>
        <w:t>指导单位：</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教育部学位管理与研究生教育司</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黑体" w:hAnsi="黑体" w:eastAsia="黑体" w:cs="黑体"/>
          <w:b/>
          <w:bCs/>
          <w:i w:val="0"/>
          <w:iCs w:val="0"/>
          <w:caps w:val="0"/>
          <w:color w:val="333333"/>
          <w:spacing w:val="-6"/>
          <w:sz w:val="24"/>
          <w:szCs w:val="24"/>
          <w:shd w:val="clear" w:fill="FFFFFF"/>
        </w:rPr>
      </w:pPr>
      <w:r>
        <w:rPr>
          <w:rFonts w:hint="eastAsia" w:ascii="黑体" w:hAnsi="黑体" w:eastAsia="黑体" w:cs="黑体"/>
          <w:b/>
          <w:bCs/>
          <w:i w:val="0"/>
          <w:iCs w:val="0"/>
          <w:caps w:val="0"/>
          <w:color w:val="333333"/>
          <w:spacing w:val="-6"/>
          <w:sz w:val="24"/>
          <w:szCs w:val="24"/>
          <w:shd w:val="clear" w:fill="FFFFFF"/>
        </w:rPr>
        <w:t>主办单位：</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中国学位与研究生教育学会</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中国科协青少年科技中心</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中国电子学会</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黑体" w:hAnsi="黑体" w:eastAsia="黑体" w:cs="黑体"/>
          <w:b/>
          <w:bCs/>
          <w:i w:val="0"/>
          <w:iCs w:val="0"/>
          <w:caps w:val="0"/>
          <w:color w:val="333333"/>
          <w:spacing w:val="-6"/>
          <w:sz w:val="24"/>
          <w:szCs w:val="24"/>
          <w:shd w:val="clear" w:fill="FFFFFF"/>
        </w:rPr>
      </w:pPr>
      <w:r>
        <w:rPr>
          <w:rFonts w:hint="eastAsia" w:ascii="黑体" w:hAnsi="黑体" w:eastAsia="黑体" w:cs="黑体"/>
          <w:b/>
          <w:bCs/>
          <w:i w:val="0"/>
          <w:iCs w:val="0"/>
          <w:caps w:val="0"/>
          <w:color w:val="333333"/>
          <w:spacing w:val="-6"/>
          <w:sz w:val="24"/>
          <w:szCs w:val="24"/>
          <w:shd w:val="clear" w:fill="FFFFFF"/>
        </w:rPr>
        <w:t>承办单位：</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东北分赛区：黑龙江大学</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华北分赛区：北京工业大学</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西北分赛区：西安交通大学</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华中分赛区：南昌航空大学</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华东分赛区：南京理工大学</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上海分赛区：上海市电子学会/上海大学</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西南分赛区：昆明理工大学</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华南分赛区：广东工业大学/广东省电子学会</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黑体" w:hAnsi="黑体" w:eastAsia="黑体" w:cs="黑体"/>
          <w:i w:val="0"/>
          <w:iCs w:val="0"/>
          <w:caps w:val="0"/>
          <w:color w:val="333333"/>
          <w:spacing w:val="0"/>
          <w:sz w:val="24"/>
          <w:szCs w:val="24"/>
        </w:rPr>
      </w:pPr>
      <w:r>
        <w:rPr>
          <w:rFonts w:hint="eastAsia" w:ascii="黑体" w:hAnsi="黑体" w:eastAsia="黑体" w:cs="黑体"/>
          <w:b/>
          <w:bCs/>
          <w:i w:val="0"/>
          <w:iCs w:val="0"/>
          <w:caps w:val="0"/>
          <w:color w:val="333333"/>
          <w:spacing w:val="-6"/>
          <w:sz w:val="28"/>
          <w:szCs w:val="28"/>
          <w:shd w:val="clear" w:fill="FFFFFF"/>
        </w:rPr>
        <w:t>四、竞赛程序</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中国研究生电子设计竞赛分六个阶段：竞赛筹备、分赛区成立与竞赛宣传、参赛报名及参赛作品搜集、分赛区初赛、决赛现场评审及颁奖、竞赛总结。具体参赛流程如下。</w:t>
      </w:r>
    </w:p>
    <w:p>
      <w:pPr>
        <w:keepNext w:val="0"/>
        <w:keepLines w:val="0"/>
        <w:pageBreakBefore w:val="0"/>
        <w:kinsoku/>
        <w:wordWrap/>
        <w:overflowPunct/>
        <w:topLinePunct w:val="0"/>
        <w:autoSpaceDE/>
        <w:autoSpaceDN/>
        <w:bidi w:val="0"/>
        <w:adjustRightInd/>
        <w:snapToGrid/>
        <w:ind w:firstLine="0"/>
        <w:jc w:val="left"/>
        <w:textAlignment w:val="auto"/>
        <w:rPr>
          <w:rFonts w:ascii="宋体" w:hAnsi="宋体" w:eastAsia="宋体" w:cs="宋体"/>
          <w:sz w:val="24"/>
          <w:szCs w:val="24"/>
        </w:rPr>
      </w:pPr>
      <w:r>
        <w:rPr>
          <w:rFonts w:ascii="宋体" w:hAnsi="宋体" w:eastAsia="宋体" w:cs="宋体"/>
          <w:sz w:val="24"/>
          <w:szCs w:val="24"/>
        </w:rPr>
        <w:drawing>
          <wp:inline distT="0" distB="0" distL="114300" distR="114300">
            <wp:extent cx="5238750" cy="3322320"/>
            <wp:effectExtent l="0" t="0" r="0" b="11430"/>
            <wp:docPr id="1"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IMG_256"/>
                    <pic:cNvPicPr>
                      <a:picLocks noChangeAspect="1"/>
                    </pic:cNvPicPr>
                  </pic:nvPicPr>
                  <pic:blipFill>
                    <a:blip r:embed="rId4"/>
                    <a:stretch>
                      <a:fillRect/>
                    </a:stretch>
                  </pic:blipFill>
                  <pic:spPr>
                    <a:xfrm>
                      <a:off x="0" y="0"/>
                      <a:ext cx="5238750" cy="3322320"/>
                    </a:xfrm>
                    <a:prstGeom prst="rect">
                      <a:avLst/>
                    </a:prstGeom>
                    <a:noFill/>
                    <a:ln w="9525">
                      <a:noFill/>
                    </a:ln>
                  </pic:spPr>
                </pic:pic>
              </a:graphicData>
            </a:graphic>
          </wp:inline>
        </w:drawing>
      </w:r>
    </w:p>
    <w:p>
      <w:pPr>
        <w:keepNext w:val="0"/>
        <w:keepLines w:val="0"/>
        <w:pageBreakBefore w:val="0"/>
        <w:kinsoku/>
        <w:wordWrap/>
        <w:overflowPunct/>
        <w:topLinePunct w:val="0"/>
        <w:autoSpaceDE/>
        <w:autoSpaceDN/>
        <w:bidi w:val="0"/>
        <w:adjustRightInd/>
        <w:snapToGrid/>
        <w:ind w:firstLine="0"/>
        <w:jc w:val="center"/>
        <w:textAlignment w:val="auto"/>
        <w:rPr>
          <w:rFonts w:hint="eastAsia" w:ascii="Times New Roman" w:hAnsi="Times New Roman" w:cs="Times New Roman" w:eastAsiaTheme="minorEastAsia"/>
          <w:i w:val="0"/>
          <w:iCs w:val="0"/>
          <w:caps w:val="0"/>
          <w:color w:val="333333"/>
          <w:spacing w:val="-6"/>
          <w:kern w:val="2"/>
          <w:sz w:val="22"/>
          <w:szCs w:val="22"/>
          <w:shd w:val="clear" w:fill="FFFFFF"/>
          <w:lang w:val="en-US" w:eastAsia="zh-CN" w:bidi="ar-SA"/>
        </w:rPr>
      </w:pPr>
      <w:r>
        <w:rPr>
          <w:rFonts w:hint="eastAsia" w:ascii="Times New Roman" w:hAnsi="Times New Roman" w:cs="Times New Roman" w:eastAsiaTheme="minorEastAsia"/>
          <w:i w:val="0"/>
          <w:iCs w:val="0"/>
          <w:caps w:val="0"/>
          <w:color w:val="333333"/>
          <w:spacing w:val="-6"/>
          <w:kern w:val="2"/>
          <w:sz w:val="22"/>
          <w:szCs w:val="22"/>
          <w:shd w:val="clear" w:fill="FFFFFF"/>
          <w:lang w:val="en-US" w:eastAsia="zh-CN" w:bidi="ar-SA"/>
        </w:rPr>
        <w:t>参赛流程图</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黑体" w:hAnsi="黑体" w:eastAsia="黑体" w:cs="黑体"/>
          <w:b/>
          <w:bCs/>
          <w:i w:val="0"/>
          <w:iCs w:val="0"/>
          <w:caps w:val="0"/>
          <w:color w:val="333333"/>
          <w:spacing w:val="-6"/>
          <w:sz w:val="28"/>
          <w:szCs w:val="28"/>
          <w:shd w:val="clear" w:fill="FFFFFF"/>
        </w:rPr>
      </w:pPr>
      <w:r>
        <w:rPr>
          <w:rFonts w:hint="eastAsia" w:ascii="黑体" w:hAnsi="黑体" w:eastAsia="黑体" w:cs="黑体"/>
          <w:b/>
          <w:bCs/>
          <w:i w:val="0"/>
          <w:iCs w:val="0"/>
          <w:caps w:val="0"/>
          <w:color w:val="333333"/>
          <w:spacing w:val="-6"/>
          <w:sz w:val="28"/>
          <w:szCs w:val="28"/>
          <w:shd w:val="clear" w:fill="FFFFFF"/>
        </w:rPr>
        <w:t>五、参赛办法</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1.中国大陆、港澳台地区在读研究生（包括应届毕业生）和已获得研究生入学资格的大四本科生（需提供学校保研、录取证明）及国外高校在读研究生可参赛。</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2.以参赛队为基本报名单位，不接受个人形式报名。</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3.竞赛分为技术竞赛和商业计划书专项赛两大部分，两部分竞赛相互独立，组队、报名、评审、奖励工作均分开进行，互不影响。技术竞赛部分由企业命题和开放式命题两个赛道组成，其中参与企业命题赛道的队伍可以同时参加对应技术方向开放命题赛道评审，并由系统在论文首页标注所参与的企业命题要求。</w:t>
      </w:r>
    </w:p>
    <w:p>
      <w:pPr>
        <w:keepNext w:val="0"/>
        <w:keepLines w:val="0"/>
        <w:pageBreakBefore w:val="0"/>
        <w:kinsoku/>
        <w:wordWrap/>
        <w:overflowPunct/>
        <w:topLinePunct w:val="0"/>
        <w:autoSpaceDE/>
        <w:autoSpaceDN/>
        <w:bidi w:val="0"/>
        <w:adjustRightInd/>
        <w:snapToGrid/>
        <w:ind w:firstLine="0"/>
        <w:jc w:val="center"/>
        <w:textAlignment w:val="auto"/>
        <w:rPr>
          <w:rFonts w:ascii="宋体" w:hAnsi="宋体" w:eastAsia="宋体" w:cs="宋体"/>
          <w:sz w:val="24"/>
          <w:szCs w:val="24"/>
        </w:rPr>
      </w:pPr>
      <w:r>
        <w:rPr>
          <w:rFonts w:ascii="宋体" w:hAnsi="宋体" w:eastAsia="宋体" w:cs="宋体"/>
          <w:sz w:val="24"/>
          <w:szCs w:val="24"/>
        </w:rPr>
        <w:drawing>
          <wp:inline distT="0" distB="0" distL="114300" distR="114300">
            <wp:extent cx="5385435" cy="1911350"/>
            <wp:effectExtent l="0" t="0" r="0" b="0"/>
            <wp:docPr id="2"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IMG_256"/>
                    <pic:cNvPicPr>
                      <a:picLocks noChangeAspect="1"/>
                    </pic:cNvPicPr>
                  </pic:nvPicPr>
                  <pic:blipFill>
                    <a:blip r:embed="rId5"/>
                    <a:stretch>
                      <a:fillRect/>
                    </a:stretch>
                  </pic:blipFill>
                  <pic:spPr>
                    <a:xfrm>
                      <a:off x="0" y="0"/>
                      <a:ext cx="5385435" cy="1911350"/>
                    </a:xfrm>
                    <a:prstGeom prst="rect">
                      <a:avLst/>
                    </a:prstGeom>
                    <a:noFill/>
                    <a:ln w="9525">
                      <a:noFill/>
                    </a:ln>
                  </pic:spPr>
                </pic:pic>
              </a:graphicData>
            </a:graphic>
          </wp:inline>
        </w:drawing>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4.每支参赛队由指导老师、队长和队员组成。在同一个参赛部分（技术竞赛或商业计划书专项赛）中，指导老师一名或两名，队长一名，队员一名至二名，每位指导老师至多指导两支参赛队，每位参赛队员只能加入一支参赛队。</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5.参赛队伍成员须为是参赛作品有实质贡献的个体，不允许成员挂名。如发现挂名现象，组委会将永久取消挂名参赛者参赛资格，并向各参赛单位通报，请各位参赛者相互监督。</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6.组队时，由队长确认指导老师顺序和队员顺序，此顺序依据参赛贡献大小确定。获奖证书将严格按照组队顺序制作，不再确认和更改。</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7.参赛队员必须具有正式研究生学籍或已被确认录取资格。有特殊情况的研究生培养单位，参赛队中最多允许有一名是本科生，但必须事先向竞赛组委会申请并经过批准，本科生参赛申请详见官网附件。</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8.参赛队伍经过所在参赛单位同意后，在竞赛官网上完成注册、组队报名、缴费及作品提交。</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9.参赛单位设立研究生电子设计竞赛工作小组或联络人，在竞赛官网注册参赛单位管理员账户，负责本参赛单位参赛队伍的资格审核和信息管理。</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10.技术类竞赛与商业计划书专项赛报名费由主办方及秘书处单位中国电子学会收取并开具电子发票。报名费原则上每支参赛队伍500元人民币，如有特殊情况，各分赛区可适当调整，并出具官方通知。</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11.技术竞赛报名时，要求在报名页面填写描述作品创新点的作品简介，并填写最能说明作品创新点的三个创新关键词及成员分工说明。</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12.报名截止日期前，竞赛网站上填写的参赛队员、队员顺序及参赛作品信息均可变更，报名截止日期后，参赛队员及参赛作品不可变更，进入决赛后，参赛队可改进、完善其参赛作品，但不可更换参赛作品内容和参赛队员。如因特殊情况必须变更，参赛队需向组委会提交变更申请，组委会同意后，方可变更。擅自变更参赛信息的参赛队，组委会有权取消其参赛资格。</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 </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黑体" w:hAnsi="黑体" w:eastAsia="黑体" w:cs="黑体"/>
          <w:b/>
          <w:bCs/>
          <w:i w:val="0"/>
          <w:iCs w:val="0"/>
          <w:caps w:val="0"/>
          <w:color w:val="333333"/>
          <w:spacing w:val="-6"/>
          <w:sz w:val="28"/>
          <w:szCs w:val="28"/>
          <w:shd w:val="clear" w:fill="FFFFFF"/>
        </w:rPr>
      </w:pPr>
      <w:r>
        <w:rPr>
          <w:rFonts w:hint="eastAsia" w:ascii="黑体" w:hAnsi="黑体" w:eastAsia="黑体" w:cs="黑体"/>
          <w:b/>
          <w:bCs/>
          <w:i w:val="0"/>
          <w:iCs w:val="0"/>
          <w:caps w:val="0"/>
          <w:color w:val="333333"/>
          <w:spacing w:val="-6"/>
          <w:sz w:val="28"/>
          <w:szCs w:val="28"/>
          <w:shd w:val="clear" w:fill="FFFFFF"/>
        </w:rPr>
        <w:t>六、竞赛说明</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1.技术竞赛采用开放式命题与企业命题相结合的方式进行，由参赛队自主选择作品命题。评审重点考察作品的创意和创新性，技术实现以及团队综合能力。</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2.开放式命题分为以下八个参赛方向，参赛队可自行选择参赛方向：</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电路与嵌入式系统类，包括但不限于针对某一功能应用所开展的具有较强创新创意的电子电路软硬件设计、终端设备或嵌入式系统实现等，如基于FPGA、DSP、MCU、嵌入式系统等开发的软硬件系统、智能硬件、新型射频天线、并行处理系统、仪器仪表等；</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2）机电控制与智能制造类，包括但不限于实现自动控制与自主运行的创新创意软硬件系统与电气自动化系统等，如机器人，飞行器，智能车，工业自动化，电气自动化传感器、设备或系统，电能变换技术、电力电子与电力传动、电机控制技术等；</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3）通信与网络技术类，包括但不限于基于各种通信及网络技术研究开发的创新创意通信网络应用模块或系统，如网络安全、无线通信、光纤通信、互联网、物联网、空间信息网、水下通信网络、工业控制网络、边缘计算等通信或网络设备、系统或软件等；</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4）信息感知系统与应用类，包括但不限于光电感知、传感器、微纳传感器与微机电系统、空间探测等传感与信息获取类软硬件系统，如工业传感、生物传感、生态环境传感、光电探测、遥感探测、定位导航等系统的设计与实现；</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（5）信号和信息处理技术与系统，包括但不限于视频、图像、语音、文本、频谱信号处理和信息处理、特征识别，以及信号检测及对抗的软硬件系统， 如安防监控、音视频编解码、网络文本搜索与处理、雷达信号处理、信息对抗系统等；</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6）人工智能类，包括但不限于自然语言处理、机器视觉、深度学习、机器学习、大数据处理、群体智能、决策管理等技术的软硬件系统或智能应用，如：智能机器人、智慧城市、智能医疗、智能安防、自动驾驶、智慧家居等；</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7）技术探索与交叉学科类，包括但不限于基于新材料、新器件、新工艺、新设计等构建的新型电子信息类软硬件系统，如面向生命健康、艺术创造、环境生态、清洁能源等的新型传感器、电子电路、处理器、通信网络设备、信息处理器以及应用系统等。</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8）华为6G先进无线技术探索，包括但不限于用以构建及拓展6G愿景、应用及需求的先进无线网络创意（含支撑技术、模块或系统），如面向绿色节能、超高吞吐、超低时延、超高可靠、超远覆盖、海量连接、极简架构、智慧互联、通感一体、内生AI及原生可信的方案、设备、系统或软件。</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3.企业命题包括兆易创新企业命题、华为企业命题、飞腾企业命题、地平线命题、景嘉微企业命题、算能命题、优利德命题、龙芯命题、TI命题、安谋科技（Arm china）命题、Synopsys命题，MathWorks设立MATLAB/Simulink企业应用专项奖。具体命题及专项奖信息请于2023年3月参见竞赛官方网站。</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4.技术竞赛要求参赛队制作符合设计方案的演示实物，向组委会提交的参赛文件为技术论文、演示视频、门型展架设计图片与作品照片的电子文件。</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5.要求商业计划书专项赛中涉及的作品是已实现功能的实物，并向组委会提交的参赛文件为作品演示视频、作品介绍 PPT 和商业计划书的电子文件。</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6.组委会不限制参赛作品所使用工具的品牌和型号，由参赛队自行选择， 所使用软硬件工具的品牌不影响竞赛成绩。</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7.参赛队拥有其参赛作品的知识产权，不可抄袭他人作品或侵占他人知识产权。如有违规，组委会有权取消其参赛资格。</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8.同一学校同一主题作品不可连续参赛，如果确实有重大改进，请在初赛提交作品时标注往届获奖情况，并提交《作品重大改进说明》。</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9.竞赛根据往届参赛数据建立论文库并查重。论文重复率高且未提交《作品重大改进说明》，经专家鉴定为重复参赛或无实质创新、作品雷同或有抄袭行为的团队，将被取消参赛资格，并向参赛单位进行通报。</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黑体" w:hAnsi="黑体" w:eastAsia="黑体" w:cs="黑体"/>
          <w:b/>
          <w:bCs/>
          <w:i w:val="0"/>
          <w:iCs w:val="0"/>
          <w:caps w:val="0"/>
          <w:color w:val="333333"/>
          <w:spacing w:val="-6"/>
          <w:sz w:val="28"/>
          <w:szCs w:val="28"/>
          <w:shd w:val="clear" w:fill="FFFFFF"/>
        </w:rPr>
      </w:pPr>
      <w:r>
        <w:rPr>
          <w:rFonts w:hint="eastAsia" w:ascii="黑体" w:hAnsi="黑体" w:eastAsia="黑体" w:cs="黑体"/>
          <w:b/>
          <w:bCs/>
          <w:i w:val="0"/>
          <w:iCs w:val="0"/>
          <w:caps w:val="0"/>
          <w:color w:val="333333"/>
          <w:spacing w:val="-6"/>
          <w:sz w:val="28"/>
          <w:szCs w:val="28"/>
          <w:shd w:val="clear" w:fill="FFFFFF"/>
        </w:rPr>
        <w:t>七、作品要求</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1.参赛作品技术论文</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技术论文内容建议包括但不限于以下内容：</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（1）作品难点与创新；（2）方案论证与设计；（3）原理分析与硬件电路图；（4）软件设计与流程；（5）系统测试与误差分析；（6）总结。</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不同类型作品可根据实际情况作相应调整，论文字数 8000-10000 字为宜， 具体格式要求参见</w:t>
      </w:r>
      <w:r>
        <w:rPr>
          <w:rFonts w:hint="eastAsia" w:ascii="Times New Roman" w:hAnsi="Times New Roman" w:cs="Times New Roman" w:eastAsiaTheme="minorEastAsia"/>
          <w:i w:val="0"/>
          <w:iCs w:val="0"/>
          <w:caps w:val="0"/>
          <w:color w:val="333333"/>
          <w:spacing w:val="-6"/>
          <w:sz w:val="24"/>
          <w:szCs w:val="24"/>
          <w:highlight w:val="yellow"/>
          <w:shd w:val="clear" w:fill="FFFFFF"/>
        </w:rPr>
        <w:t>附件</w:t>
      </w:r>
      <w:r>
        <w:rPr>
          <w:rFonts w:hint="eastAsia" w:ascii="Times New Roman" w:hAnsi="Times New Roman" w:cs="Times New Roman"/>
          <w:i w:val="0"/>
          <w:iCs w:val="0"/>
          <w:caps w:val="0"/>
          <w:color w:val="333333"/>
          <w:spacing w:val="-6"/>
          <w:sz w:val="24"/>
          <w:szCs w:val="24"/>
          <w:highlight w:val="yellow"/>
          <w:shd w:val="clear" w:fill="FFFFFF"/>
          <w:lang w:val="en-US" w:eastAsia="zh-CN"/>
        </w:rPr>
        <w:t>2</w:t>
      </w:r>
      <w:r>
        <w:rPr>
          <w:rFonts w:hint="eastAsia" w:ascii="Times New Roman" w:hAnsi="Times New Roman" w:cs="Times New Roman" w:eastAsiaTheme="minorEastAsia"/>
          <w:i w:val="0"/>
          <w:iCs w:val="0"/>
          <w:caps w:val="0"/>
          <w:color w:val="333333"/>
          <w:spacing w:val="-6"/>
          <w:sz w:val="24"/>
          <w:szCs w:val="24"/>
          <w:shd w:val="clear" w:fill="FFFFFF"/>
        </w:rPr>
        <w:t>。</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2.商业计划书</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商业计划书内容建议包括但不限于以下内容：（1）项目意义（2）团队介绍(3)产品内容（4）行业及市场情况（5）营销策略（6）融资说明（7）财务计划（8）风险控制（9）项目实施难度。商业计划书模板详见</w:t>
      </w:r>
      <w:r>
        <w:rPr>
          <w:rFonts w:hint="eastAsia" w:ascii="Times New Roman" w:hAnsi="Times New Roman" w:cs="Times New Roman" w:eastAsiaTheme="minorEastAsia"/>
          <w:i w:val="0"/>
          <w:iCs w:val="0"/>
          <w:caps w:val="0"/>
          <w:color w:val="333333"/>
          <w:spacing w:val="-6"/>
          <w:sz w:val="24"/>
          <w:szCs w:val="24"/>
          <w:highlight w:val="yellow"/>
          <w:shd w:val="clear" w:fill="FFFFFF"/>
        </w:rPr>
        <w:t>附件</w:t>
      </w:r>
      <w:r>
        <w:rPr>
          <w:rFonts w:hint="eastAsia" w:ascii="Times New Roman" w:hAnsi="Times New Roman" w:cs="Times New Roman"/>
          <w:i w:val="0"/>
          <w:iCs w:val="0"/>
          <w:caps w:val="0"/>
          <w:color w:val="333333"/>
          <w:spacing w:val="-6"/>
          <w:sz w:val="24"/>
          <w:szCs w:val="24"/>
          <w:highlight w:val="yellow"/>
          <w:shd w:val="clear" w:fill="FFFFFF"/>
          <w:lang w:val="en-US" w:eastAsia="zh-CN"/>
        </w:rPr>
        <w:t>3</w:t>
      </w:r>
      <w:r>
        <w:rPr>
          <w:rFonts w:hint="eastAsia" w:ascii="Times New Roman" w:hAnsi="Times New Roman" w:cs="Times New Roman" w:eastAsiaTheme="minorEastAsia"/>
          <w:i w:val="0"/>
          <w:iCs w:val="0"/>
          <w:caps w:val="0"/>
          <w:color w:val="333333"/>
          <w:spacing w:val="-6"/>
          <w:sz w:val="24"/>
          <w:szCs w:val="24"/>
          <w:shd w:val="clear" w:fill="FFFFFF"/>
        </w:rPr>
        <w:t>。</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3.参赛作品演示视频</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视频分辨率不小于 1280*720，大小不超过100M，时长不超过 10 分钟，格式为avi、mp4、wmv 之一。视频内容应包括作品原理及创新点、结构介绍、功能演示等三部分。</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出现在视频中的参赛队员需穿着正装出镜（男士白衬衣黑西裤黑皮鞋，女士白衬衣黑套裙或黑西裤黑皮鞋），使用普通话讲解作品，配备字幕。</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4.参赛作品PPT</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作品展示PPT模板见</w:t>
      </w:r>
      <w:r>
        <w:rPr>
          <w:rFonts w:hint="eastAsia" w:ascii="Times New Roman" w:hAnsi="Times New Roman" w:cs="Times New Roman" w:eastAsiaTheme="minorEastAsia"/>
          <w:i w:val="0"/>
          <w:iCs w:val="0"/>
          <w:caps w:val="0"/>
          <w:color w:val="333333"/>
          <w:spacing w:val="-6"/>
          <w:sz w:val="24"/>
          <w:szCs w:val="24"/>
          <w:highlight w:val="yellow"/>
          <w:shd w:val="clear" w:fill="FFFFFF"/>
        </w:rPr>
        <w:t>附件</w:t>
      </w:r>
      <w:r>
        <w:rPr>
          <w:rFonts w:hint="eastAsia" w:ascii="Times New Roman" w:hAnsi="Times New Roman" w:cs="Times New Roman"/>
          <w:i w:val="0"/>
          <w:iCs w:val="0"/>
          <w:caps w:val="0"/>
          <w:color w:val="333333"/>
          <w:spacing w:val="-6"/>
          <w:sz w:val="24"/>
          <w:szCs w:val="24"/>
          <w:highlight w:val="yellow"/>
          <w:shd w:val="clear" w:fill="FFFFFF"/>
          <w:lang w:val="en-US" w:eastAsia="zh-CN"/>
        </w:rPr>
        <w:t>4</w:t>
      </w:r>
      <w:r>
        <w:rPr>
          <w:rFonts w:hint="eastAsia" w:ascii="Times New Roman" w:hAnsi="Times New Roman" w:cs="Times New Roman" w:eastAsiaTheme="minorEastAsia"/>
          <w:i w:val="0"/>
          <w:iCs w:val="0"/>
          <w:caps w:val="0"/>
          <w:color w:val="333333"/>
          <w:spacing w:val="-6"/>
          <w:sz w:val="24"/>
          <w:szCs w:val="24"/>
          <w:shd w:val="clear" w:fill="FFFFFF"/>
        </w:rPr>
        <w:t>。其中，技术竞赛PPT内容建议包含但不限于：选题意义、创新与特色、核心技术方法、结果与分析、应用价值。如参赛作品有项目基础，务必于PPT中明确阐述参赛团队的工作内容、主要贡献和组内分工。</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商业计划书专项赛PPT内容建议包括但不限于：公司及管理团队概述、项目意义及创新点、项目原理及设计方案、项目形象及功能模拟、行业及市场、营销及融资、财务及风险等。要求有作品实物，并提供参赛作品演示视频，视频要求参见本文“七-3”</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5.参赛作品展示图片</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参赛作品全貌、特写照片 5 张，指导老师、参赛队员与作品合影 1 张，全体成员在参赛单位标志物前合影 1 张，每张图片大小不超过 2M。没有条件合影的，可通过软件拼接合成。</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6.作品简介“门型展架”</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作品简介“门型展架”模板见</w:t>
      </w:r>
      <w:r>
        <w:rPr>
          <w:rFonts w:hint="eastAsia" w:ascii="Times New Roman" w:hAnsi="Times New Roman" w:cs="Times New Roman" w:eastAsiaTheme="minorEastAsia"/>
          <w:i w:val="0"/>
          <w:iCs w:val="0"/>
          <w:caps w:val="0"/>
          <w:color w:val="333333"/>
          <w:spacing w:val="-6"/>
          <w:sz w:val="24"/>
          <w:szCs w:val="24"/>
          <w:highlight w:val="yellow"/>
          <w:shd w:val="clear" w:fill="FFFFFF"/>
        </w:rPr>
        <w:t>附件</w:t>
      </w:r>
      <w:r>
        <w:rPr>
          <w:rFonts w:hint="eastAsia" w:ascii="Times New Roman" w:hAnsi="Times New Roman" w:cs="Times New Roman"/>
          <w:i w:val="0"/>
          <w:iCs w:val="0"/>
          <w:caps w:val="0"/>
          <w:color w:val="333333"/>
          <w:spacing w:val="-6"/>
          <w:sz w:val="24"/>
          <w:szCs w:val="24"/>
          <w:highlight w:val="yellow"/>
          <w:shd w:val="clear" w:fill="FFFFFF"/>
          <w:lang w:val="en-US" w:eastAsia="zh-CN"/>
        </w:rPr>
        <w:t>5</w:t>
      </w:r>
      <w:r>
        <w:rPr>
          <w:rFonts w:hint="eastAsia" w:ascii="Times New Roman" w:hAnsi="Times New Roman" w:cs="Times New Roman" w:eastAsiaTheme="minorEastAsia"/>
          <w:i w:val="0"/>
          <w:iCs w:val="0"/>
          <w:caps w:val="0"/>
          <w:color w:val="333333"/>
          <w:spacing w:val="-6"/>
          <w:sz w:val="24"/>
          <w:szCs w:val="24"/>
          <w:shd w:val="clear" w:fill="FFFFFF"/>
        </w:rPr>
        <w:t>，在不影响知识产权及论文发表的前提下，凝练参赛作品的主要创新。要求参赛团队：</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（1）清晰、简洁地描述作品解决的关键技术问题与背景；</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（2）准确、完整地阐述参赛作品中具有创新性的关键技术；</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（3）客观、详实地对比国内外同类先进技术的主要参数、设计方法、成本效益与市场竞争力。</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参赛团队如有成员本人署名的支持作品创新性的旁证材料，如专利、鉴定证书、验收证书/报告、论文、第三方评估等，应在对应创新点前标明，并根据其重要程度排序，展架仅展示团队成员本人参与的工作内容，非参赛团队成员本人的作品创新性旁证材料不作为竞赛评审依据。</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展架内容要求文字精炼、结构清晰，图文结合，格式为.jpg。展架电子文件允许根据内容需要纵向延长，大小不超过30M，用于评审现场的“门型展架”实物尺寸要求为80*180cm。优秀团队展架内容将面向社会公开，以进一步促进学术交流，展示当代研究生科研风采。</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7.作品提交</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将PDF格式与docx格式的技术论文或商业计划书，JPG格式作品简介“门型展架”电子文件，分别单独上传提交至官网对应处。演示视频、展示照片及其他电子文档压缩至同一文件夹中，并以“参赛单位-参赛队-作品名称”命名，上传至</w:t>
      </w:r>
      <w:r>
        <w:rPr>
          <w:rFonts w:hint="eastAsia" w:ascii="Times New Roman" w:hAnsi="Times New Roman" w:cs="Times New Roman" w:eastAsiaTheme="minorEastAsia"/>
          <w:i w:val="0"/>
          <w:iCs w:val="0"/>
          <w:caps w:val="0"/>
          <w:color w:val="333333"/>
          <w:spacing w:val="-6"/>
          <w:sz w:val="24"/>
          <w:szCs w:val="24"/>
          <w:highlight w:val="yellow"/>
          <w:shd w:val="clear" w:fill="FFFFFF"/>
        </w:rPr>
        <w:t>百度网盘</w:t>
      </w:r>
      <w:r>
        <w:rPr>
          <w:rFonts w:hint="eastAsia" w:ascii="Times New Roman" w:hAnsi="Times New Roman" w:cs="Times New Roman" w:eastAsiaTheme="minorEastAsia"/>
          <w:i w:val="0"/>
          <w:iCs w:val="0"/>
          <w:caps w:val="0"/>
          <w:color w:val="333333"/>
          <w:spacing w:val="-6"/>
          <w:sz w:val="24"/>
          <w:szCs w:val="24"/>
          <w:shd w:val="clear" w:fill="FFFFFF"/>
        </w:rPr>
        <w:t>，将下载链接与密码提交至竞赛官网后，即完成官网作品提交。</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其中，技术竞赛PPT用于评审答辩，不作为作品附件提交，商业计划书专项赛PPT作为作品附件提交。</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黑体" w:hAnsi="黑体" w:eastAsia="黑体" w:cs="黑体"/>
          <w:b/>
          <w:bCs/>
          <w:i w:val="0"/>
          <w:iCs w:val="0"/>
          <w:caps w:val="0"/>
          <w:color w:val="333333"/>
          <w:spacing w:val="-6"/>
          <w:sz w:val="28"/>
          <w:szCs w:val="28"/>
          <w:shd w:val="clear" w:fill="FFFFFF"/>
        </w:rPr>
      </w:pPr>
      <w:r>
        <w:rPr>
          <w:rFonts w:hint="eastAsia" w:ascii="黑体" w:hAnsi="黑体" w:eastAsia="黑体" w:cs="黑体"/>
          <w:b/>
          <w:bCs/>
          <w:i w:val="0"/>
          <w:iCs w:val="0"/>
          <w:caps w:val="0"/>
          <w:color w:val="333333"/>
          <w:spacing w:val="-6"/>
          <w:sz w:val="28"/>
          <w:szCs w:val="28"/>
          <w:shd w:val="clear" w:fill="FFFFFF"/>
        </w:rPr>
        <w:t>八、评审办法</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1.竞赛分为两级评审，包含分赛区初赛评审和全国总决赛评审。</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2.参与企业命题赛道的团队可以同时参加对应技术方向开放命题赛道评审。并分别获得企业专项奖与初赛、决赛团队奖，两类奖项相互独立，奖金择高发放。</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3.初赛评审中，开放命题赛道按照初赛获奖比例评审，并按照晋级比例产生全国总决赛入围名单；企业命题赛道按照企业命题获奖比例评审，并推荐优秀团队晋级全国总决赛，其中推荐数量应不超过企业命题报名总数的10%，推荐团队数量不足3支时，按照3支补足。</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4.通过开放命题赛道晋级总决赛的团队，不占用企业命题赛道推荐晋级总决赛的团队名额。</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5.全国总决赛评审中，开放命题团队根据技术方向组成评审组；企业命题团队根据命题企业与晋级数量，组成评审组，并由企业专家与高校专家共同担任评委，按照全国总决赛获奖比例，产生技术竞赛决赛团队一二三等奖。</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6.各企业命题决赛团队奖项评奖数量独立计算，互不影响。</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7.分赛区优先采取现场评审，根据实际组织情况，可采用会议评审与现场评审相结合方式进行。全国总决赛优先采用现场评审的方式进行。</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8.现场评审方式要求参赛队携带参赛作品和作品展板于统一时间集中到指定地点，展示作品功能，进行分组答辩。评委根据技术论文、作品展示情况和答辩情况进行评审。</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9.会议评审方式不要求参赛队员到达评审现场，评委通过参赛作品的电子文档进行分组评审，必要时针对个别团队组织线上问询。</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10.华为6G先进无线技术探索方向，由专家组按照评审标准单独组织初赛评审。初赛根据报名团队数量情况，采用线上视频答辩或专家会议评审方式进行。</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11.作品答辩分为参赛作品介绍、现场问答二个环节，主要评审参赛作品的创意和创新性、参赛队的整体素质和团体协作能力。</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12.初赛和总决赛的评审标准一致。技术竞赛从选题的创意创新与先进性、应用价值、功能完整性、底层软硬件创新设计与作品展示、论文等维度对作品进行评审，以 100 分制进行打分，给出各参赛作品分数，根据作品分数和获奖比例得出获奖结果参考评分标准如下。</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“兆易创新杯”第十八届中国研究生电子设计竞赛技术评审标准</w:t>
      </w:r>
    </w:p>
    <w:tbl>
      <w:tblPr>
        <w:tblW w:w="7878" w:type="dxa"/>
        <w:jc w:val="center"/>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shd w:val="clear" w:color="auto" w:fill="FFFFFF"/>
        <w:tblLayout w:type="autofit"/>
        <w:tblCellMar>
          <w:top w:w="15" w:type="dxa"/>
          <w:left w:w="15" w:type="dxa"/>
          <w:bottom w:w="15" w:type="dxa"/>
          <w:right w:w="15" w:type="dxa"/>
        </w:tblCellMar>
      </w:tblPr>
      <w:tblGrid>
        <w:gridCol w:w="1189"/>
        <w:gridCol w:w="5748"/>
        <w:gridCol w:w="968"/>
      </w:tblGrid>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shd w:val="clear" w:color="auto" w:fill="FFFFFF"/>
          <w:tblCellMar>
            <w:top w:w="15" w:type="dxa"/>
            <w:left w:w="15" w:type="dxa"/>
            <w:bottom w:w="15" w:type="dxa"/>
            <w:right w:w="15" w:type="dxa"/>
          </w:tblCellMar>
        </w:tblPrEx>
        <w:trPr>
          <w:trHeight w:val="314" w:hRule="atLeast"/>
          <w:jc w:val="center"/>
        </w:trPr>
        <w:tc>
          <w:tcPr>
            <w:tcW w:w="1162" w:type="dxa"/>
            <w:tcBorders>
              <w:top w:val="single" w:color="000000" w:sz="8" w:space="0"/>
              <w:left w:val="single" w:color="000000" w:sz="8" w:space="0"/>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指标</w:t>
            </w:r>
          </w:p>
        </w:tc>
        <w:tc>
          <w:tcPr>
            <w:tcW w:w="5748" w:type="dxa"/>
            <w:tcBorders>
              <w:top w:val="single" w:color="000000" w:sz="8" w:space="0"/>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评审标准</w:t>
            </w:r>
          </w:p>
        </w:tc>
        <w:tc>
          <w:tcPr>
            <w:tcW w:w="968" w:type="dxa"/>
            <w:tcBorders>
              <w:top w:val="single" w:color="000000" w:sz="8" w:space="0"/>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权重</w:t>
            </w:r>
          </w:p>
        </w:tc>
      </w:tr>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shd w:val="clear" w:color="auto" w:fill="FFFFFF"/>
          <w:tblCellMar>
            <w:top w:w="15" w:type="dxa"/>
            <w:left w:w="15" w:type="dxa"/>
            <w:bottom w:w="15" w:type="dxa"/>
            <w:right w:w="15" w:type="dxa"/>
          </w:tblCellMar>
        </w:tblPrEx>
        <w:trPr>
          <w:trHeight w:val="629" w:hRule="atLeast"/>
          <w:jc w:val="center"/>
        </w:trPr>
        <w:tc>
          <w:tcPr>
            <w:tcW w:w="0" w:type="auto"/>
            <w:tcBorders>
              <w:top w:val="nil"/>
              <w:left w:val="single" w:color="000000" w:sz="8" w:space="0"/>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技术论文</w:t>
            </w:r>
          </w:p>
        </w:tc>
        <w:tc>
          <w:tcPr>
            <w:tcW w:w="5748" w:type="dxa"/>
            <w:tcBorders>
              <w:top w:val="nil"/>
              <w:left w:val="nil"/>
              <w:bottom w:val="single" w:color="000000" w:sz="8" w:space="0"/>
              <w:right w:val="single" w:color="000000" w:sz="8" w:space="0"/>
            </w:tcBorders>
            <w:shd w:val="clear" w:color="auto" w:fill="FFFFFF"/>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论文结构是否明晰，方案是否合理，重点是否突出，论述是否充分，写作是否规范</w:t>
            </w:r>
          </w:p>
        </w:tc>
        <w:tc>
          <w:tcPr>
            <w:tcW w:w="0" w:type="auto"/>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10</w:t>
            </w:r>
          </w:p>
        </w:tc>
      </w:tr>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shd w:val="clear" w:color="auto" w:fill="FFFFFF"/>
          <w:tblCellMar>
            <w:top w:w="15" w:type="dxa"/>
            <w:left w:w="15" w:type="dxa"/>
            <w:bottom w:w="15" w:type="dxa"/>
            <w:right w:w="15" w:type="dxa"/>
          </w:tblCellMar>
        </w:tblPrEx>
        <w:trPr>
          <w:trHeight w:val="629" w:hRule="atLeast"/>
          <w:jc w:val="center"/>
        </w:trPr>
        <w:tc>
          <w:tcPr>
            <w:tcW w:w="1162" w:type="dxa"/>
            <w:vMerge w:val="restart"/>
            <w:tcBorders>
              <w:top w:val="nil"/>
              <w:left w:val="single" w:color="000000" w:sz="8" w:space="0"/>
              <w:bottom w:val="single" w:color="000000" w:sz="8" w:space="0"/>
              <w:right w:val="single" w:color="000000" w:sz="8" w:space="0"/>
            </w:tcBorders>
            <w:shd w:val="clear" w:color="auto" w:fill="FFFFFF"/>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作品展示与</w:t>
            </w:r>
            <w:r>
              <w:rPr>
                <w:rFonts w:hint="eastAsia" w:ascii="Times New Roman" w:hAnsi="Times New Roman" w:cs="Times New Roman" w:eastAsiaTheme="minorEastAsia"/>
                <w:i w:val="0"/>
                <w:iCs w:val="0"/>
                <w:caps w:val="0"/>
                <w:color w:val="333333"/>
                <w:spacing w:val="-6"/>
                <w:sz w:val="24"/>
                <w:szCs w:val="24"/>
                <w:shd w:val="clear" w:fill="FFFFFF"/>
              </w:rPr>
              <w:br w:type="textWrapping"/>
            </w:r>
            <w:r>
              <w:rPr>
                <w:rFonts w:hint="eastAsia" w:ascii="Times New Roman" w:hAnsi="Times New Roman" w:cs="Times New Roman" w:eastAsiaTheme="minorEastAsia"/>
                <w:i w:val="0"/>
                <w:iCs w:val="0"/>
                <w:caps w:val="0"/>
                <w:color w:val="333333"/>
                <w:spacing w:val="-6"/>
                <w:sz w:val="24"/>
                <w:szCs w:val="24"/>
                <w:shd w:val="clear" w:fill="FFFFFF"/>
              </w:rPr>
              <w:t>功能完整性</w:t>
            </w:r>
          </w:p>
        </w:tc>
        <w:tc>
          <w:tcPr>
            <w:tcW w:w="5748" w:type="dxa"/>
            <w:tcBorders>
              <w:top w:val="nil"/>
              <w:left w:val="nil"/>
              <w:bottom w:val="single" w:color="000000" w:sz="8" w:space="0"/>
              <w:right w:val="single" w:color="000000" w:sz="8" w:space="0"/>
            </w:tcBorders>
            <w:shd w:val="clear" w:color="auto" w:fill="FFFFFF"/>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演讲主题是否突出，逻辑是否清晰，功能／性能演示是否成功，回答问题是否正确</w:t>
            </w:r>
          </w:p>
        </w:tc>
        <w:tc>
          <w:tcPr>
            <w:tcW w:w="0" w:type="auto"/>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30</w:t>
            </w:r>
          </w:p>
        </w:tc>
      </w:tr>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shd w:val="clear" w:color="auto" w:fill="FFFFFF"/>
          <w:tblCellMar>
            <w:top w:w="15" w:type="dxa"/>
            <w:left w:w="15" w:type="dxa"/>
            <w:bottom w:w="15" w:type="dxa"/>
            <w:right w:w="15" w:type="dxa"/>
          </w:tblCellMar>
        </w:tblPrEx>
        <w:trPr>
          <w:trHeight w:val="315" w:hRule="atLeast"/>
          <w:jc w:val="center"/>
        </w:trPr>
        <w:tc>
          <w:tcPr>
            <w:tcW w:w="1162" w:type="dxa"/>
            <w:vMerge w:val="continue"/>
            <w:tcBorders>
              <w:top w:val="nil"/>
              <w:left w:val="single" w:color="000000" w:sz="8" w:space="0"/>
              <w:bottom w:val="single" w:color="000000" w:sz="8" w:space="0"/>
              <w:right w:val="single" w:color="000000" w:sz="8" w:space="0"/>
            </w:tcBorders>
            <w:shd w:val="clear" w:color="auto" w:fill="FFFFFF"/>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p>
        </w:tc>
        <w:tc>
          <w:tcPr>
            <w:tcW w:w="5748" w:type="dxa"/>
            <w:tcBorders>
              <w:top w:val="nil"/>
              <w:left w:val="nil"/>
              <w:bottom w:val="single" w:color="000000" w:sz="8" w:space="0"/>
              <w:right w:val="single" w:color="000000" w:sz="8" w:space="0"/>
            </w:tcBorders>
            <w:shd w:val="clear" w:color="auto" w:fill="FFFFFF"/>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作品是否具有系统思维，功能是否完整</w:t>
            </w:r>
          </w:p>
        </w:tc>
        <w:tc>
          <w:tcPr>
            <w:tcW w:w="0" w:type="auto"/>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p>
        </w:tc>
      </w:tr>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shd w:val="clear" w:color="auto" w:fill="FFFFFF"/>
          <w:tblCellMar>
            <w:top w:w="15" w:type="dxa"/>
            <w:left w:w="15" w:type="dxa"/>
            <w:bottom w:w="15" w:type="dxa"/>
            <w:right w:w="15" w:type="dxa"/>
          </w:tblCellMar>
        </w:tblPrEx>
        <w:trPr>
          <w:trHeight w:val="629" w:hRule="atLeast"/>
          <w:jc w:val="center"/>
        </w:trPr>
        <w:tc>
          <w:tcPr>
            <w:tcW w:w="0" w:type="auto"/>
            <w:vMerge w:val="restart"/>
            <w:tcBorders>
              <w:top w:val="nil"/>
              <w:left w:val="single" w:color="000000" w:sz="8" w:space="0"/>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创新/创意</w:t>
            </w:r>
          </w:p>
        </w:tc>
        <w:tc>
          <w:tcPr>
            <w:tcW w:w="5748" w:type="dxa"/>
            <w:tcBorders>
              <w:top w:val="nil"/>
              <w:left w:val="nil"/>
              <w:bottom w:val="single" w:color="000000" w:sz="8" w:space="0"/>
              <w:right w:val="single" w:color="000000" w:sz="8" w:space="0"/>
            </w:tcBorders>
            <w:shd w:val="clear" w:color="auto" w:fill="FFFFFF"/>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作品的设计思路、功能、性能等方面是否有突破性和创新性，创意是否新颖，鼓励底层硬件与软件创新设计</w:t>
            </w:r>
          </w:p>
        </w:tc>
        <w:tc>
          <w:tcPr>
            <w:tcW w:w="0" w:type="auto"/>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40</w:t>
            </w:r>
          </w:p>
        </w:tc>
      </w:tr>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15" w:type="dxa"/>
            <w:left w:w="15" w:type="dxa"/>
            <w:bottom w:w="15" w:type="dxa"/>
            <w:right w:w="15" w:type="dxa"/>
          </w:tblCellMar>
        </w:tblPrEx>
        <w:trPr>
          <w:trHeight w:val="315" w:hRule="atLeast"/>
          <w:jc w:val="center"/>
        </w:trPr>
        <w:tc>
          <w:tcPr>
            <w:tcW w:w="0" w:type="auto"/>
            <w:vMerge w:val="continue"/>
            <w:tcBorders>
              <w:top w:val="nil"/>
              <w:left w:val="single" w:color="000000" w:sz="8" w:space="0"/>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p>
        </w:tc>
        <w:tc>
          <w:tcPr>
            <w:tcW w:w="5748" w:type="dxa"/>
            <w:tcBorders>
              <w:top w:val="nil"/>
              <w:left w:val="nil"/>
              <w:bottom w:val="single" w:color="000000" w:sz="8" w:space="0"/>
              <w:right w:val="single" w:color="000000" w:sz="8" w:space="0"/>
            </w:tcBorders>
            <w:shd w:val="clear" w:color="auto" w:fill="FFFFFF"/>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设计内容、技术方法、理论模型等是否具有先进性</w:t>
            </w:r>
          </w:p>
        </w:tc>
        <w:tc>
          <w:tcPr>
            <w:tcW w:w="0" w:type="auto"/>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p>
        </w:tc>
      </w:tr>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15" w:type="dxa"/>
            <w:left w:w="15" w:type="dxa"/>
            <w:bottom w:w="15" w:type="dxa"/>
            <w:right w:w="15" w:type="dxa"/>
          </w:tblCellMar>
        </w:tblPrEx>
        <w:trPr>
          <w:trHeight w:val="629" w:hRule="atLeast"/>
          <w:jc w:val="center"/>
        </w:trPr>
        <w:tc>
          <w:tcPr>
            <w:tcW w:w="0" w:type="auto"/>
            <w:tcBorders>
              <w:top w:val="nil"/>
              <w:left w:val="single" w:color="000000" w:sz="8" w:space="0"/>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应用价值</w:t>
            </w:r>
          </w:p>
        </w:tc>
        <w:tc>
          <w:tcPr>
            <w:tcW w:w="5748" w:type="dxa"/>
            <w:tcBorders>
              <w:top w:val="nil"/>
              <w:left w:val="nil"/>
              <w:bottom w:val="single" w:color="000000" w:sz="8" w:space="0"/>
              <w:right w:val="single" w:color="000000" w:sz="8" w:space="0"/>
            </w:tcBorders>
            <w:shd w:val="clear" w:color="auto" w:fill="FFFFFF"/>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作品是否具有可行性和可靠性，是否切实解决了实际问题，是否具有广阔的应用前景或推广意义</w:t>
            </w:r>
          </w:p>
        </w:tc>
        <w:tc>
          <w:tcPr>
            <w:tcW w:w="0" w:type="auto"/>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20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314" w:hRule="atLeast"/>
          <w:jc w:val="center"/>
        </w:trPr>
        <w:tc>
          <w:tcPr>
            <w:tcW w:w="0" w:type="auto"/>
            <w:tcBorders>
              <w:top w:val="nil"/>
              <w:left w:val="single" w:color="000000" w:sz="8" w:space="0"/>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总分</w:t>
            </w:r>
          </w:p>
        </w:tc>
        <w:tc>
          <w:tcPr>
            <w:tcW w:w="5748" w:type="dxa"/>
            <w:tcBorders>
              <w:top w:val="nil"/>
              <w:left w:val="nil"/>
              <w:bottom w:val="single" w:color="000000" w:sz="8" w:space="0"/>
              <w:right w:val="single" w:color="000000" w:sz="8" w:space="0"/>
            </w:tcBorders>
            <w:shd w:val="clear" w:color="auto" w:fill="FFFFFF"/>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p>
        </w:tc>
        <w:tc>
          <w:tcPr>
            <w:tcW w:w="0" w:type="auto"/>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100</w:t>
            </w:r>
          </w:p>
        </w:tc>
      </w:tr>
    </w:tbl>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13. 商业计划书专项赛从商业文本、团队价值、项目价值和商业价值等维度对作品进行评审，参考评分标准如下：</w:t>
      </w:r>
    </w:p>
    <w:tbl>
      <w:tblPr>
        <w:tblW w:w="8320" w:type="dxa"/>
        <w:jc w:val="center"/>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shd w:val="clear" w:color="auto" w:fill="FFFFFF"/>
        <w:tblLayout w:type="autofit"/>
        <w:tblCellMar>
          <w:top w:w="15" w:type="dxa"/>
          <w:left w:w="15" w:type="dxa"/>
          <w:bottom w:w="15" w:type="dxa"/>
          <w:right w:w="15" w:type="dxa"/>
        </w:tblCellMar>
      </w:tblPr>
      <w:tblGrid>
        <w:gridCol w:w="1248"/>
        <w:gridCol w:w="1283"/>
        <w:gridCol w:w="5104"/>
        <w:gridCol w:w="685"/>
      </w:tblGrid>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shd w:val="clear" w:color="auto" w:fill="FFFFFF"/>
          <w:tblCellMar>
            <w:top w:w="15" w:type="dxa"/>
            <w:left w:w="15" w:type="dxa"/>
            <w:bottom w:w="15" w:type="dxa"/>
            <w:right w:w="15" w:type="dxa"/>
          </w:tblCellMar>
        </w:tblPrEx>
        <w:trPr>
          <w:trHeight w:val="551" w:hRule="atLeast"/>
          <w:jc w:val="center"/>
        </w:trPr>
        <w:tc>
          <w:tcPr>
            <w:tcW w:w="8320" w:type="dxa"/>
            <w:gridSpan w:val="4"/>
            <w:tcBorders>
              <w:top w:val="nil"/>
              <w:left w:val="nil"/>
              <w:bottom w:val="nil"/>
              <w:right w:val="nil"/>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“兆易创新杯”第十八届中国研究生电子设计竞赛商业计划书专项赛评审标准</w:t>
            </w:r>
          </w:p>
        </w:tc>
      </w:tr>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shd w:val="clear" w:color="auto" w:fill="FFFFFF"/>
          <w:tblCellMar>
            <w:top w:w="15" w:type="dxa"/>
            <w:left w:w="15" w:type="dxa"/>
            <w:bottom w:w="15" w:type="dxa"/>
            <w:right w:w="15" w:type="dxa"/>
          </w:tblCellMar>
        </w:tblPrEx>
        <w:trPr>
          <w:trHeight w:val="343" w:hRule="atLeast"/>
          <w:jc w:val="center"/>
        </w:trPr>
        <w:tc>
          <w:tcPr>
            <w:tcW w:w="1248" w:type="dxa"/>
            <w:tcBorders>
              <w:top w:val="single" w:color="000000" w:sz="8" w:space="0"/>
              <w:left w:val="single" w:color="000000" w:sz="8" w:space="0"/>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类别</w:t>
            </w:r>
          </w:p>
        </w:tc>
        <w:tc>
          <w:tcPr>
            <w:tcW w:w="1283" w:type="dxa"/>
            <w:tcBorders>
              <w:top w:val="single" w:color="000000" w:sz="8" w:space="0"/>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指标</w:t>
            </w:r>
          </w:p>
        </w:tc>
        <w:tc>
          <w:tcPr>
            <w:tcW w:w="5104" w:type="dxa"/>
            <w:tcBorders>
              <w:top w:val="single" w:color="000000" w:sz="8" w:space="0"/>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评审标准</w:t>
            </w:r>
          </w:p>
        </w:tc>
        <w:tc>
          <w:tcPr>
            <w:tcW w:w="685" w:type="dxa"/>
            <w:tcBorders>
              <w:top w:val="single" w:color="000000" w:sz="8" w:space="0"/>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权重</w:t>
            </w:r>
          </w:p>
        </w:tc>
      </w:tr>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shd w:val="clear" w:color="auto" w:fill="FFFFFF"/>
          <w:tblCellMar>
            <w:top w:w="15" w:type="dxa"/>
            <w:left w:w="15" w:type="dxa"/>
            <w:bottom w:w="15" w:type="dxa"/>
            <w:right w:w="15" w:type="dxa"/>
          </w:tblCellMar>
        </w:tblPrEx>
        <w:trPr>
          <w:trHeight w:val="931" w:hRule="atLeast"/>
          <w:jc w:val="center"/>
        </w:trPr>
        <w:tc>
          <w:tcPr>
            <w:tcW w:w="1248" w:type="dxa"/>
            <w:tcBorders>
              <w:top w:val="nil"/>
              <w:left w:val="single" w:color="000000" w:sz="8" w:space="0"/>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商业文本</w:t>
            </w:r>
          </w:p>
        </w:tc>
        <w:tc>
          <w:tcPr>
            <w:tcW w:w="1283" w:type="dxa"/>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商业计划书</w:t>
            </w:r>
          </w:p>
        </w:tc>
        <w:tc>
          <w:tcPr>
            <w:tcW w:w="5104" w:type="dxa"/>
            <w:tcBorders>
              <w:top w:val="nil"/>
              <w:left w:val="nil"/>
              <w:bottom w:val="single" w:color="000000" w:sz="8" w:space="0"/>
              <w:right w:val="single" w:color="000000" w:sz="8" w:space="0"/>
            </w:tcBorders>
            <w:shd w:val="clear" w:color="auto" w:fill="FFFFFF"/>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商业计划书结构清晰，逻辑严密，重点突出，经营模式新颖，具有较大商业价值。</w:t>
            </w:r>
          </w:p>
        </w:tc>
        <w:tc>
          <w:tcPr>
            <w:tcW w:w="685" w:type="dxa"/>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10</w:t>
            </w:r>
          </w:p>
        </w:tc>
      </w:tr>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shd w:val="clear" w:color="auto" w:fill="FFFFFF"/>
          <w:tblCellMar>
            <w:top w:w="15" w:type="dxa"/>
            <w:left w:w="15" w:type="dxa"/>
            <w:bottom w:w="15" w:type="dxa"/>
            <w:right w:w="15" w:type="dxa"/>
          </w:tblCellMar>
        </w:tblPrEx>
        <w:trPr>
          <w:trHeight w:val="931" w:hRule="atLeast"/>
          <w:jc w:val="center"/>
        </w:trPr>
        <w:tc>
          <w:tcPr>
            <w:tcW w:w="1248" w:type="dxa"/>
            <w:tcBorders>
              <w:top w:val="nil"/>
              <w:left w:val="single" w:color="000000" w:sz="8" w:space="0"/>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团队价值</w:t>
            </w:r>
          </w:p>
        </w:tc>
        <w:tc>
          <w:tcPr>
            <w:tcW w:w="1283" w:type="dxa"/>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创业团队</w:t>
            </w:r>
          </w:p>
        </w:tc>
        <w:tc>
          <w:tcPr>
            <w:tcW w:w="5104" w:type="dxa"/>
            <w:tcBorders>
              <w:top w:val="nil"/>
              <w:left w:val="nil"/>
              <w:bottom w:val="single" w:color="000000" w:sz="8" w:space="0"/>
              <w:right w:val="single" w:color="000000" w:sz="8" w:space="0"/>
            </w:tcBorders>
            <w:shd w:val="clear" w:color="auto" w:fill="FFFFFF"/>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团队成员具有核心技术背景，团队分工合理、能力互补。公司组织结构清晰，团队产权及股权划分明确。</w:t>
            </w:r>
          </w:p>
        </w:tc>
        <w:tc>
          <w:tcPr>
            <w:tcW w:w="685" w:type="dxa"/>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20</w:t>
            </w:r>
          </w:p>
        </w:tc>
      </w:tr>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shd w:val="clear" w:color="auto" w:fill="FFFFFF"/>
          <w:tblCellMar>
            <w:top w:w="15" w:type="dxa"/>
            <w:left w:w="15" w:type="dxa"/>
            <w:bottom w:w="15" w:type="dxa"/>
            <w:right w:w="15" w:type="dxa"/>
          </w:tblCellMar>
        </w:tblPrEx>
        <w:trPr>
          <w:trHeight w:val="1229" w:hRule="atLeast"/>
          <w:jc w:val="center"/>
        </w:trPr>
        <w:tc>
          <w:tcPr>
            <w:tcW w:w="1248" w:type="dxa"/>
            <w:vMerge w:val="restart"/>
            <w:tcBorders>
              <w:top w:val="nil"/>
              <w:left w:val="single" w:color="000000" w:sz="8" w:space="0"/>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项目价值</w:t>
            </w:r>
          </w:p>
        </w:tc>
        <w:tc>
          <w:tcPr>
            <w:tcW w:w="1283" w:type="dxa"/>
            <w:tcBorders>
              <w:top w:val="nil"/>
              <w:left w:val="nil"/>
              <w:bottom w:val="single" w:color="000000" w:sz="8" w:space="0"/>
              <w:right w:val="single" w:color="000000" w:sz="8" w:space="0"/>
            </w:tcBorders>
            <w:shd w:val="clear" w:color="auto" w:fill="FFFFFF"/>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创新性</w:t>
            </w:r>
          </w:p>
        </w:tc>
        <w:tc>
          <w:tcPr>
            <w:tcW w:w="5104" w:type="dxa"/>
            <w:tcBorders>
              <w:top w:val="nil"/>
              <w:left w:val="nil"/>
              <w:bottom w:val="single" w:color="000000" w:sz="8" w:space="0"/>
              <w:right w:val="single" w:color="000000" w:sz="8" w:space="0"/>
            </w:tcBorders>
            <w:shd w:val="clear" w:color="auto" w:fill="FFFFFF"/>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项目的设计思路、功能、性能等方面有突破性和创新性，设计内容、技术方法、理论模型等具有先进性。鼓励项目与高校科技成果转移转化结合，取得一定数量和质量的创新成果。</w:t>
            </w:r>
          </w:p>
        </w:tc>
        <w:tc>
          <w:tcPr>
            <w:tcW w:w="685" w:type="dxa"/>
            <w:vMerge w:val="restart"/>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30</w:t>
            </w:r>
          </w:p>
        </w:tc>
      </w:tr>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shd w:val="clear" w:color="auto" w:fill="FFFFFF"/>
          <w:tblCellMar>
            <w:top w:w="15" w:type="dxa"/>
            <w:left w:w="15" w:type="dxa"/>
            <w:bottom w:w="15" w:type="dxa"/>
            <w:right w:w="15" w:type="dxa"/>
          </w:tblCellMar>
        </w:tblPrEx>
        <w:trPr>
          <w:trHeight w:val="927" w:hRule="atLeast"/>
          <w:jc w:val="center"/>
        </w:trPr>
        <w:tc>
          <w:tcPr>
            <w:tcW w:w="1248" w:type="dxa"/>
            <w:vMerge w:val="continue"/>
            <w:tcBorders>
              <w:top w:val="nil"/>
              <w:left w:val="single" w:color="000000" w:sz="8" w:space="0"/>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ascii="Times New Roman" w:hAnsi="Times New Roman" w:cs="Times New Roman" w:eastAsiaTheme="minorEastAsia"/>
                <w:i w:val="0"/>
                <w:iCs w:val="0"/>
                <w:caps w:val="0"/>
                <w:color w:val="333333"/>
                <w:spacing w:val="-6"/>
                <w:sz w:val="24"/>
                <w:szCs w:val="24"/>
                <w:shd w:val="clear" w:fill="FFFFFF"/>
              </w:rPr>
            </w:pPr>
          </w:p>
        </w:tc>
        <w:tc>
          <w:tcPr>
            <w:tcW w:w="1283" w:type="dxa"/>
            <w:tcBorders>
              <w:top w:val="nil"/>
              <w:left w:val="nil"/>
              <w:bottom w:val="single" w:color="000000" w:sz="8" w:space="0"/>
              <w:right w:val="single" w:color="000000" w:sz="8" w:space="0"/>
            </w:tcBorders>
            <w:shd w:val="clear" w:color="auto" w:fill="FFFFFF"/>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应用价值</w:t>
            </w:r>
          </w:p>
        </w:tc>
        <w:tc>
          <w:tcPr>
            <w:tcW w:w="5104" w:type="dxa"/>
            <w:tcBorders>
              <w:top w:val="nil"/>
              <w:left w:val="nil"/>
              <w:bottom w:val="single" w:color="000000" w:sz="8" w:space="0"/>
              <w:right w:val="single" w:color="000000" w:sz="8" w:space="0"/>
            </w:tcBorders>
            <w:shd w:val="clear" w:color="auto" w:fill="FFFFFF"/>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项目具有可行性和可靠性，切实解决了实际问题，具有广阔的应用前景或推广意义，具有一定的技术、资源壁垒。</w:t>
            </w:r>
          </w:p>
        </w:tc>
        <w:tc>
          <w:tcPr>
            <w:tcW w:w="685" w:type="dxa"/>
            <w:vMerge w:val="continue"/>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ascii="Times New Roman" w:hAnsi="Times New Roman" w:cs="Times New Roman" w:eastAsiaTheme="minorEastAsia"/>
                <w:i w:val="0"/>
                <w:iCs w:val="0"/>
                <w:caps w:val="0"/>
                <w:color w:val="333333"/>
                <w:spacing w:val="-6"/>
                <w:sz w:val="24"/>
                <w:szCs w:val="24"/>
                <w:shd w:val="clear" w:fill="FFFFFF"/>
              </w:rPr>
            </w:pPr>
          </w:p>
        </w:tc>
      </w:tr>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shd w:val="clear" w:color="auto" w:fill="FFFFFF"/>
          <w:tblCellMar>
            <w:top w:w="15" w:type="dxa"/>
            <w:left w:w="15" w:type="dxa"/>
            <w:bottom w:w="15" w:type="dxa"/>
            <w:right w:w="15" w:type="dxa"/>
          </w:tblCellMar>
        </w:tblPrEx>
        <w:trPr>
          <w:trHeight w:val="927" w:hRule="atLeast"/>
          <w:jc w:val="center"/>
        </w:trPr>
        <w:tc>
          <w:tcPr>
            <w:tcW w:w="1248" w:type="dxa"/>
            <w:vMerge w:val="restart"/>
            <w:tcBorders>
              <w:top w:val="nil"/>
              <w:left w:val="single" w:color="000000" w:sz="8" w:space="0"/>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商业价值</w:t>
            </w:r>
          </w:p>
        </w:tc>
        <w:tc>
          <w:tcPr>
            <w:tcW w:w="1283" w:type="dxa"/>
            <w:tcBorders>
              <w:top w:val="nil"/>
              <w:left w:val="nil"/>
              <w:bottom w:val="single" w:color="000000" w:sz="8" w:space="0"/>
              <w:right w:val="single" w:color="000000" w:sz="8" w:space="0"/>
            </w:tcBorders>
            <w:shd w:val="clear" w:color="auto" w:fill="FFFFFF"/>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市场及竞争分析</w:t>
            </w:r>
          </w:p>
        </w:tc>
        <w:tc>
          <w:tcPr>
            <w:tcW w:w="5104" w:type="dxa"/>
            <w:tcBorders>
              <w:top w:val="nil"/>
              <w:left w:val="nil"/>
              <w:bottom w:val="single" w:color="000000" w:sz="8" w:space="0"/>
              <w:right w:val="single" w:color="000000" w:sz="8" w:space="0"/>
            </w:tcBorders>
            <w:shd w:val="clear" w:color="auto" w:fill="FFFFFF"/>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市场分析数据完整，调查研究深入详实，科学、客观的结合自身项目准确把握市场发展趋势，明确比较同类项目与自身项目的优势与不足。</w:t>
            </w:r>
          </w:p>
        </w:tc>
        <w:tc>
          <w:tcPr>
            <w:tcW w:w="685" w:type="dxa"/>
            <w:vMerge w:val="restart"/>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40</w:t>
            </w:r>
          </w:p>
        </w:tc>
      </w:tr>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shd w:val="clear" w:color="auto" w:fill="FFFFFF"/>
          <w:tblCellMar>
            <w:top w:w="15" w:type="dxa"/>
            <w:left w:w="15" w:type="dxa"/>
            <w:bottom w:w="15" w:type="dxa"/>
            <w:right w:w="15" w:type="dxa"/>
          </w:tblCellMar>
        </w:tblPrEx>
        <w:trPr>
          <w:trHeight w:val="927" w:hRule="atLeast"/>
          <w:jc w:val="center"/>
        </w:trPr>
        <w:tc>
          <w:tcPr>
            <w:tcW w:w="1248" w:type="dxa"/>
            <w:vMerge w:val="continue"/>
            <w:tcBorders>
              <w:top w:val="nil"/>
              <w:left w:val="single" w:color="000000" w:sz="8" w:space="0"/>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ascii="Times New Roman" w:hAnsi="Times New Roman" w:cs="Times New Roman" w:eastAsiaTheme="minorEastAsia"/>
                <w:i w:val="0"/>
                <w:iCs w:val="0"/>
                <w:caps w:val="0"/>
                <w:color w:val="333333"/>
                <w:spacing w:val="-6"/>
                <w:sz w:val="24"/>
                <w:szCs w:val="24"/>
                <w:shd w:val="clear" w:fill="FFFFFF"/>
              </w:rPr>
            </w:pPr>
          </w:p>
        </w:tc>
        <w:tc>
          <w:tcPr>
            <w:tcW w:w="1283" w:type="dxa"/>
            <w:tcBorders>
              <w:top w:val="nil"/>
              <w:left w:val="nil"/>
              <w:bottom w:val="single" w:color="000000" w:sz="8" w:space="0"/>
              <w:right w:val="single" w:color="000000" w:sz="8" w:space="0"/>
            </w:tcBorders>
            <w:shd w:val="clear" w:color="auto" w:fill="FFFFFF"/>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经营管理</w:t>
            </w:r>
          </w:p>
        </w:tc>
        <w:tc>
          <w:tcPr>
            <w:tcW w:w="5104" w:type="dxa"/>
            <w:tcBorders>
              <w:top w:val="nil"/>
              <w:left w:val="nil"/>
              <w:bottom w:val="single" w:color="000000" w:sz="8" w:space="0"/>
              <w:right w:val="single" w:color="000000" w:sz="8" w:space="0"/>
            </w:tcBorders>
            <w:shd w:val="clear" w:color="auto" w:fill="FFFFFF"/>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开发状态和目标规划合理，操作周期和实施计划恰当，重点明确，对经营难度和资源要求分析准确。项目发展战略和规模扩张策略合理可行。</w:t>
            </w:r>
          </w:p>
        </w:tc>
        <w:tc>
          <w:tcPr>
            <w:tcW w:w="685" w:type="dxa"/>
            <w:vMerge w:val="continue"/>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ascii="Times New Roman" w:hAnsi="Times New Roman" w:cs="Times New Roman" w:eastAsiaTheme="minorEastAsia"/>
                <w:i w:val="0"/>
                <w:iCs w:val="0"/>
                <w:caps w:val="0"/>
                <w:color w:val="333333"/>
                <w:spacing w:val="-6"/>
                <w:sz w:val="24"/>
                <w:szCs w:val="24"/>
                <w:shd w:val="clear" w:fill="FFFFFF"/>
              </w:rPr>
            </w:pPr>
          </w:p>
        </w:tc>
      </w:tr>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15" w:type="dxa"/>
            <w:left w:w="15" w:type="dxa"/>
            <w:bottom w:w="15" w:type="dxa"/>
            <w:right w:w="15" w:type="dxa"/>
          </w:tblCellMar>
        </w:tblPrEx>
        <w:trPr>
          <w:trHeight w:val="817" w:hRule="atLeast"/>
          <w:jc w:val="center"/>
        </w:trPr>
        <w:tc>
          <w:tcPr>
            <w:tcW w:w="1248" w:type="dxa"/>
            <w:vMerge w:val="continue"/>
            <w:tcBorders>
              <w:top w:val="nil"/>
              <w:left w:val="single" w:color="000000" w:sz="8" w:space="0"/>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ascii="Times New Roman" w:hAnsi="Times New Roman" w:cs="Times New Roman" w:eastAsiaTheme="minorEastAsia"/>
                <w:i w:val="0"/>
                <w:iCs w:val="0"/>
                <w:caps w:val="0"/>
                <w:color w:val="333333"/>
                <w:spacing w:val="-6"/>
                <w:sz w:val="24"/>
                <w:szCs w:val="24"/>
                <w:shd w:val="clear" w:fill="FFFFFF"/>
              </w:rPr>
            </w:pPr>
          </w:p>
        </w:tc>
        <w:tc>
          <w:tcPr>
            <w:tcW w:w="1283" w:type="dxa"/>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营销策略</w:t>
            </w:r>
          </w:p>
        </w:tc>
        <w:tc>
          <w:tcPr>
            <w:tcW w:w="5104" w:type="dxa"/>
            <w:tcBorders>
              <w:top w:val="nil"/>
              <w:left w:val="nil"/>
              <w:bottom w:val="single" w:color="000000" w:sz="8" w:space="0"/>
              <w:right w:val="single" w:color="000000" w:sz="8" w:space="0"/>
            </w:tcBorders>
            <w:shd w:val="clear" w:color="auto" w:fill="FFFFFF"/>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营销策略具有创新性，对受众具有潜在吸引力，成本及定价合理，营销渠道顺畅，具有一定的可执行性。</w:t>
            </w:r>
          </w:p>
        </w:tc>
        <w:tc>
          <w:tcPr>
            <w:tcW w:w="685" w:type="dxa"/>
            <w:vMerge w:val="continue"/>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ascii="Times New Roman" w:hAnsi="Times New Roman" w:cs="Times New Roman" w:eastAsiaTheme="minorEastAsia"/>
                <w:i w:val="0"/>
                <w:iCs w:val="0"/>
                <w:caps w:val="0"/>
                <w:color w:val="333333"/>
                <w:spacing w:val="-6"/>
                <w:sz w:val="24"/>
                <w:szCs w:val="24"/>
                <w:shd w:val="clear" w:fill="FFFFFF"/>
              </w:rPr>
            </w:pPr>
          </w:p>
        </w:tc>
      </w:tr>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15" w:type="dxa"/>
            <w:left w:w="15" w:type="dxa"/>
            <w:bottom w:w="15" w:type="dxa"/>
            <w:right w:w="15" w:type="dxa"/>
          </w:tblCellMar>
        </w:tblPrEx>
        <w:trPr>
          <w:trHeight w:val="817" w:hRule="atLeast"/>
          <w:jc w:val="center"/>
        </w:trPr>
        <w:tc>
          <w:tcPr>
            <w:tcW w:w="1248" w:type="dxa"/>
            <w:vMerge w:val="continue"/>
            <w:tcBorders>
              <w:top w:val="nil"/>
              <w:left w:val="single" w:color="000000" w:sz="8" w:space="0"/>
              <w:bottom w:val="single" w:color="000000" w:sz="8" w:space="0"/>
              <w:right w:val="single" w:color="000000" w:sz="8" w:space="0"/>
            </w:tcBorders>
            <w:shd w:val="clear" w:color="auto" w:fill="FFFFFF"/>
            <w:noWrap/>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i w:val="0"/>
                <w:iCs w:val="0"/>
                <w:caps w:val="0"/>
                <w:color w:val="333333"/>
                <w:spacing w:val="0"/>
                <w:sz w:val="20"/>
                <w:szCs w:val="20"/>
              </w:rPr>
            </w:pPr>
          </w:p>
        </w:tc>
        <w:tc>
          <w:tcPr>
            <w:tcW w:w="1283" w:type="dxa"/>
            <w:tcBorders>
              <w:top w:val="nil"/>
              <w:left w:val="nil"/>
              <w:bottom w:val="single" w:color="000000" w:sz="8" w:space="0"/>
              <w:right w:val="single" w:color="000000" w:sz="8" w:space="0"/>
            </w:tcBorders>
            <w:shd w:val="clear" w:color="auto" w:fill="FFFFFF"/>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融资方案与回报</w:t>
            </w:r>
          </w:p>
        </w:tc>
        <w:tc>
          <w:tcPr>
            <w:tcW w:w="5104" w:type="dxa"/>
            <w:tcBorders>
              <w:top w:val="nil"/>
              <w:left w:val="nil"/>
              <w:bottom w:val="single" w:color="000000" w:sz="8" w:space="0"/>
              <w:right w:val="single" w:color="000000" w:sz="8" w:space="0"/>
            </w:tcBorders>
            <w:shd w:val="clear" w:color="auto" w:fill="FFFFFF"/>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left"/>
              <w:textAlignment w:val="auto"/>
              <w:rPr>
                <w:rFonts w:hint="default"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融资方案具有合理性与吸引力，回报率与回报周期明确。</w:t>
            </w:r>
          </w:p>
        </w:tc>
        <w:tc>
          <w:tcPr>
            <w:tcW w:w="685" w:type="dxa"/>
            <w:vMerge w:val="continue"/>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i w:val="0"/>
                <w:iCs w:val="0"/>
                <w:caps w:val="0"/>
                <w:color w:val="333333"/>
                <w:spacing w:val="0"/>
                <w:sz w:val="20"/>
                <w:szCs w:val="20"/>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946" w:hRule="atLeast"/>
          <w:jc w:val="center"/>
        </w:trPr>
        <w:tc>
          <w:tcPr>
            <w:tcW w:w="1248" w:type="dxa"/>
            <w:vMerge w:val="continue"/>
            <w:tcBorders>
              <w:top w:val="nil"/>
              <w:left w:val="single" w:color="000000" w:sz="8" w:space="0"/>
              <w:bottom w:val="single" w:color="000000" w:sz="8" w:space="0"/>
              <w:right w:val="single" w:color="000000" w:sz="8" w:space="0"/>
            </w:tcBorders>
            <w:shd w:val="clear" w:color="auto" w:fill="FFFFFF"/>
            <w:noWrap/>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i w:val="0"/>
                <w:iCs w:val="0"/>
                <w:caps w:val="0"/>
                <w:color w:val="333333"/>
                <w:spacing w:val="0"/>
                <w:sz w:val="20"/>
                <w:szCs w:val="20"/>
              </w:rPr>
            </w:pPr>
          </w:p>
        </w:tc>
        <w:tc>
          <w:tcPr>
            <w:tcW w:w="1283" w:type="dxa"/>
            <w:tcBorders>
              <w:top w:val="nil"/>
              <w:left w:val="nil"/>
              <w:bottom w:val="single" w:color="000000" w:sz="8" w:space="0"/>
              <w:right w:val="single" w:color="000000" w:sz="8" w:space="0"/>
            </w:tcBorders>
            <w:shd w:val="clear" w:color="auto" w:fill="FFFFFF"/>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盈利模式、经济及财务状况</w:t>
            </w:r>
          </w:p>
        </w:tc>
        <w:tc>
          <w:tcPr>
            <w:tcW w:w="5104" w:type="dxa"/>
            <w:tcBorders>
              <w:top w:val="nil"/>
              <w:left w:val="nil"/>
              <w:bottom w:val="single" w:color="000000" w:sz="8" w:space="0"/>
              <w:right w:val="single" w:color="000000" w:sz="8" w:space="0"/>
            </w:tcBorders>
            <w:shd w:val="clear" w:color="auto" w:fill="FFFFFF"/>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left"/>
              <w:textAlignment w:val="auto"/>
              <w:rPr>
                <w:rFonts w:hint="default"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盈利模式可行，关键财务因素、指标、报表与计划合理。</w:t>
            </w:r>
          </w:p>
        </w:tc>
        <w:tc>
          <w:tcPr>
            <w:tcW w:w="685" w:type="dxa"/>
            <w:vMerge w:val="continue"/>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keepNext w:val="0"/>
              <w:keepLines w:val="0"/>
              <w:pageBreakBefore w:val="0"/>
              <w:widowControl/>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i w:val="0"/>
                <w:iCs w:val="0"/>
                <w:caps w:val="0"/>
                <w:color w:val="333333"/>
                <w:spacing w:val="0"/>
                <w:sz w:val="20"/>
                <w:szCs w:val="20"/>
              </w:rPr>
            </w:pPr>
          </w:p>
        </w:tc>
      </w:tr>
    </w:tbl>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14.技术竞赛初赛由分赛区承办单位组织评审；商业计划书专项赛初赛由组委会秘书处中国电子学会组织投资机构评委进行评审。</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15.评委采用本校回避原则，不参评自己学校的参赛作品。评审期间，要求所有评委关闭手机等通讯工具，不接受任何单位或个人的干预。</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16.评审采用协商一致的原则，评委意见无法一致时采用无记名投票方法决定结果。</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17.为实现评审的公平性，除技术论文封面外，团队名称、论文正文、演示PPT、门型展架、演示视频等均不允许人为出现研究生姓名、导师姓名、学校名称等信息，一经发现将予以屏蔽并严肃处理，参考文献不要求匿名。</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18.商业计划书专项赛中，团队信息作为商业投资价值的评审依据之一，不做上述匿名要求。</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19.为维护竞赛纪律，提倡良好的赛风，杜绝不公平竞争，特设立争议期。评审结束后，组委会即在官方网站上公布拟获奖参赛队的名单，接受广大师生的举报与申诉，为期十天。如果举报属实，获奖参赛队确有违纪行为，组委会有权取消其获奖资格，并追究有关人的责任。</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20.如参赛队对评审结果有异议，可由经过所在单位研究生主管部门授权的领队老师代表所在单位和参赛队向组委会秘书处提交书面质询申请。监督和仲裁委员会组织对质询申请进行调查和仲裁，并给出仲裁结果，仲裁结果作为最终评审结果。质询申请和审核仲裁应在争议期内提出和处理。</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 </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黑体" w:hAnsi="黑体" w:eastAsia="黑体" w:cs="黑体"/>
          <w:b/>
          <w:bCs/>
          <w:i w:val="0"/>
          <w:iCs w:val="0"/>
          <w:caps w:val="0"/>
          <w:color w:val="333333"/>
          <w:spacing w:val="-6"/>
          <w:sz w:val="28"/>
          <w:szCs w:val="28"/>
          <w:shd w:val="clear" w:fill="FFFFFF"/>
        </w:rPr>
      </w:pPr>
      <w:r>
        <w:rPr>
          <w:rFonts w:hint="eastAsia" w:ascii="黑体" w:hAnsi="黑体" w:eastAsia="黑体" w:cs="黑体"/>
          <w:b/>
          <w:bCs/>
          <w:i w:val="0"/>
          <w:iCs w:val="0"/>
          <w:caps w:val="0"/>
          <w:color w:val="333333"/>
          <w:spacing w:val="-6"/>
          <w:sz w:val="28"/>
          <w:szCs w:val="28"/>
          <w:shd w:val="clear" w:fill="FFFFFF"/>
        </w:rPr>
        <w:t>九、奖项设置和奖励办法</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各分赛区设团队一等奖、二等奖、三等奖，优秀指导老师奖及优秀组织奖。商业计划书专项赛初赛设团队一等奖、二等奖、三等奖，优秀指导老师奖以及优秀组织奖。技术竞赛初赛一等奖获奖比例不超过20%，二等奖获奖比例不超过30%，三等奖获奖比例不超过30%；提交参赛作品不完整，不合规的，将直接淘汰不予评奖。技术竞赛初赛获得一等奖的部分参赛队获得决赛晋级资格，技术竞赛与商业计划书专项赛晋级比例根据报名情况确定，另行通知。初赛成绩公布后，未获得初赛奖项的参赛团队，可通过官网下载成功参赛证明。</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2.本届竞赛在各赛区固定晋级比例基础上，增设40名决赛动态晋级名额，结合各赛区报名团队总数及2022年全国总决赛一、二等奖获奖率与平均获奖率偏差情况等因素，加权计算，动态分配40名晋级决赛名额，动态晋级名额数量于报名截止后公布。</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3.全国总决赛中，技术竞赛设团队一等奖、二等奖、三等奖、“研电之星”团队奖；最佳团体奖；优秀组织奖；优秀指导教师奖；最佳论文奖；最佳答辩奖；企业专项奖等奖项。商业计划书专项赛设团队一等奖、二等奖、三等奖；优秀指导教师奖；优秀组织奖；最具商业价值奖；最佳路演奖等奖项。</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4.全国总决赛中，技术竞赛（含开放命题与企业命题赛道）团队一等奖、二等奖、三等奖原则上分别按照进入决赛团队的 25%、35%、40%的比例评奖。商业计划书团队一等奖、二等奖、三等奖原则上分别按照进入决赛团队的20%、35%、45%的比例评奖。</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5.技术竞赛设“研电之星”团队奖，取“研电之星挑战赛”的前三名，并颁发“研电之星”团队奖杯。</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6.最佳团体奖，取参赛高校团体总分第一名，并颁发“兆易创新杯”团体奖奖杯，积分办法如下。</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“兆易创新杯 ”第十八届中国研究生电子设计竞赛高校团体总分积分标准</w:t>
      </w:r>
    </w:p>
    <w:tbl>
      <w:tblPr>
        <w:tblW w:w="5313" w:type="dxa"/>
        <w:jc w:val="center"/>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shd w:val="clear" w:color="auto" w:fill="FFFFFF"/>
        <w:tblLayout w:type="autofit"/>
        <w:tblCellMar>
          <w:top w:w="15" w:type="dxa"/>
          <w:left w:w="15" w:type="dxa"/>
          <w:bottom w:w="15" w:type="dxa"/>
          <w:right w:w="15" w:type="dxa"/>
        </w:tblCellMar>
      </w:tblPr>
      <w:tblGrid>
        <w:gridCol w:w="2574"/>
        <w:gridCol w:w="2743"/>
      </w:tblGrid>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shd w:val="clear" w:color="auto" w:fill="FFFFFF"/>
          <w:tblCellMar>
            <w:top w:w="15" w:type="dxa"/>
            <w:left w:w="15" w:type="dxa"/>
            <w:bottom w:w="15" w:type="dxa"/>
            <w:right w:w="15" w:type="dxa"/>
          </w:tblCellMar>
        </w:tblPrEx>
        <w:trPr>
          <w:trHeight w:val="387" w:hRule="atLeast"/>
          <w:jc w:val="center"/>
        </w:trPr>
        <w:tc>
          <w:tcPr>
            <w:tcW w:w="2574" w:type="dxa"/>
            <w:tcBorders>
              <w:top w:val="single" w:color="000000" w:sz="8" w:space="0"/>
              <w:left w:val="single" w:color="000000" w:sz="8" w:space="0"/>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奖项</w:t>
            </w:r>
          </w:p>
        </w:tc>
        <w:tc>
          <w:tcPr>
            <w:tcW w:w="2743" w:type="dxa"/>
            <w:tcBorders>
              <w:top w:val="single" w:color="000000" w:sz="8" w:space="0"/>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价值</w:t>
            </w:r>
          </w:p>
        </w:tc>
      </w:tr>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15" w:type="dxa"/>
            <w:left w:w="15" w:type="dxa"/>
            <w:bottom w:w="15" w:type="dxa"/>
            <w:right w:w="15" w:type="dxa"/>
          </w:tblCellMar>
        </w:tblPrEx>
        <w:trPr>
          <w:trHeight w:val="387" w:hRule="atLeast"/>
          <w:jc w:val="center"/>
        </w:trPr>
        <w:tc>
          <w:tcPr>
            <w:tcW w:w="0" w:type="auto"/>
            <w:tcBorders>
              <w:top w:val="nil"/>
              <w:left w:val="single" w:color="000000" w:sz="8" w:space="0"/>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“研电之星”</w:t>
            </w:r>
          </w:p>
        </w:tc>
        <w:tc>
          <w:tcPr>
            <w:tcW w:w="0" w:type="auto"/>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一等奖基础上加6分</w:t>
            </w:r>
          </w:p>
        </w:tc>
      </w:tr>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15" w:type="dxa"/>
            <w:left w:w="15" w:type="dxa"/>
            <w:bottom w:w="15" w:type="dxa"/>
            <w:right w:w="15" w:type="dxa"/>
          </w:tblCellMar>
        </w:tblPrEx>
        <w:trPr>
          <w:trHeight w:val="387" w:hRule="atLeast"/>
          <w:jc w:val="center"/>
        </w:trPr>
        <w:tc>
          <w:tcPr>
            <w:tcW w:w="0" w:type="auto"/>
            <w:tcBorders>
              <w:top w:val="nil"/>
              <w:left w:val="single" w:color="000000" w:sz="8" w:space="0"/>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技术竞赛一等奖</w:t>
            </w:r>
          </w:p>
        </w:tc>
        <w:tc>
          <w:tcPr>
            <w:tcW w:w="0" w:type="auto"/>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12</w:t>
            </w:r>
          </w:p>
        </w:tc>
      </w:tr>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15" w:type="dxa"/>
            <w:left w:w="15" w:type="dxa"/>
            <w:bottom w:w="15" w:type="dxa"/>
            <w:right w:w="15" w:type="dxa"/>
          </w:tblCellMar>
        </w:tblPrEx>
        <w:trPr>
          <w:trHeight w:val="387" w:hRule="atLeast"/>
          <w:jc w:val="center"/>
        </w:trPr>
        <w:tc>
          <w:tcPr>
            <w:tcW w:w="0" w:type="auto"/>
            <w:tcBorders>
              <w:top w:val="nil"/>
              <w:left w:val="single" w:color="000000" w:sz="8" w:space="0"/>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技术竞赛二等奖</w:t>
            </w:r>
          </w:p>
        </w:tc>
        <w:tc>
          <w:tcPr>
            <w:tcW w:w="0" w:type="auto"/>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6</w:t>
            </w:r>
          </w:p>
        </w:tc>
      </w:tr>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15" w:type="dxa"/>
            <w:left w:w="15" w:type="dxa"/>
            <w:bottom w:w="15" w:type="dxa"/>
            <w:right w:w="15" w:type="dxa"/>
          </w:tblCellMar>
        </w:tblPrEx>
        <w:trPr>
          <w:trHeight w:val="387" w:hRule="atLeast"/>
          <w:jc w:val="center"/>
        </w:trPr>
        <w:tc>
          <w:tcPr>
            <w:tcW w:w="0" w:type="auto"/>
            <w:tcBorders>
              <w:top w:val="nil"/>
              <w:left w:val="single" w:color="000000" w:sz="8" w:space="0"/>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技术竞赛三等奖</w:t>
            </w:r>
          </w:p>
        </w:tc>
        <w:tc>
          <w:tcPr>
            <w:tcW w:w="0" w:type="auto"/>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w:t>
            </w:r>
          </w:p>
        </w:tc>
      </w:tr>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15" w:type="dxa"/>
            <w:left w:w="15" w:type="dxa"/>
            <w:bottom w:w="15" w:type="dxa"/>
            <w:right w:w="15" w:type="dxa"/>
          </w:tblCellMar>
        </w:tblPrEx>
        <w:trPr>
          <w:trHeight w:val="387" w:hRule="atLeast"/>
          <w:jc w:val="center"/>
        </w:trPr>
        <w:tc>
          <w:tcPr>
            <w:tcW w:w="0" w:type="auto"/>
            <w:tcBorders>
              <w:top w:val="nil"/>
              <w:left w:val="single" w:color="000000" w:sz="8" w:space="0"/>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商业计划书一等奖</w:t>
            </w:r>
          </w:p>
        </w:tc>
        <w:tc>
          <w:tcPr>
            <w:tcW w:w="0" w:type="auto"/>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8</w:t>
            </w:r>
          </w:p>
        </w:tc>
      </w:tr>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15" w:type="dxa"/>
            <w:left w:w="15" w:type="dxa"/>
            <w:bottom w:w="15" w:type="dxa"/>
            <w:right w:w="15" w:type="dxa"/>
          </w:tblCellMar>
        </w:tblPrEx>
        <w:trPr>
          <w:trHeight w:val="387" w:hRule="atLeast"/>
          <w:jc w:val="center"/>
        </w:trPr>
        <w:tc>
          <w:tcPr>
            <w:tcW w:w="0" w:type="auto"/>
            <w:tcBorders>
              <w:top w:val="nil"/>
              <w:left w:val="single" w:color="000000" w:sz="8" w:space="0"/>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商业计划书二等奖</w:t>
            </w:r>
          </w:p>
        </w:tc>
        <w:tc>
          <w:tcPr>
            <w:tcW w:w="0" w:type="auto"/>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4</w:t>
            </w:r>
          </w:p>
        </w:tc>
      </w:tr>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15" w:type="dxa"/>
            <w:left w:w="15" w:type="dxa"/>
            <w:bottom w:w="15" w:type="dxa"/>
            <w:right w:w="15" w:type="dxa"/>
          </w:tblCellMar>
        </w:tblPrEx>
        <w:trPr>
          <w:trHeight w:val="387" w:hRule="atLeast"/>
          <w:jc w:val="center"/>
        </w:trPr>
        <w:tc>
          <w:tcPr>
            <w:tcW w:w="0" w:type="auto"/>
            <w:tcBorders>
              <w:top w:val="nil"/>
              <w:left w:val="single" w:color="000000" w:sz="8" w:space="0"/>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商业计划书三等奖</w:t>
            </w:r>
          </w:p>
        </w:tc>
        <w:tc>
          <w:tcPr>
            <w:tcW w:w="0" w:type="auto"/>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w:t>
            </w:r>
          </w:p>
        </w:tc>
      </w:tr>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15" w:type="dxa"/>
            <w:left w:w="15" w:type="dxa"/>
            <w:bottom w:w="15" w:type="dxa"/>
            <w:right w:w="15" w:type="dxa"/>
          </w:tblCellMar>
        </w:tblPrEx>
        <w:trPr>
          <w:trHeight w:val="387" w:hRule="atLeast"/>
          <w:jc w:val="center"/>
        </w:trPr>
        <w:tc>
          <w:tcPr>
            <w:tcW w:w="0" w:type="auto"/>
            <w:tcBorders>
              <w:top w:val="nil"/>
              <w:left w:val="single" w:color="000000" w:sz="8" w:space="0"/>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优秀论文奖</w:t>
            </w:r>
          </w:p>
        </w:tc>
        <w:tc>
          <w:tcPr>
            <w:tcW w:w="0" w:type="auto"/>
            <w:vMerge w:val="restart"/>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团队奖基础上加1分</w:t>
            </w:r>
          </w:p>
        </w:tc>
      </w:tr>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15" w:type="dxa"/>
            <w:left w:w="15" w:type="dxa"/>
            <w:bottom w:w="15" w:type="dxa"/>
            <w:right w:w="15" w:type="dxa"/>
          </w:tblCellMar>
        </w:tblPrEx>
        <w:trPr>
          <w:trHeight w:val="387" w:hRule="atLeast"/>
          <w:jc w:val="center"/>
        </w:trPr>
        <w:tc>
          <w:tcPr>
            <w:tcW w:w="0" w:type="auto"/>
            <w:tcBorders>
              <w:top w:val="nil"/>
              <w:left w:val="single" w:color="000000" w:sz="8" w:space="0"/>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最佳答辩奖</w:t>
            </w:r>
          </w:p>
        </w:tc>
        <w:tc>
          <w:tcPr>
            <w:tcW w:w="0" w:type="auto"/>
            <w:vMerge w:val="continue"/>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p>
        </w:tc>
      </w:tr>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15" w:type="dxa"/>
            <w:left w:w="15" w:type="dxa"/>
            <w:bottom w:w="15" w:type="dxa"/>
            <w:right w:w="15" w:type="dxa"/>
          </w:tblCellMar>
        </w:tblPrEx>
        <w:trPr>
          <w:trHeight w:val="387" w:hRule="atLeast"/>
          <w:jc w:val="center"/>
        </w:trPr>
        <w:tc>
          <w:tcPr>
            <w:tcW w:w="0" w:type="auto"/>
            <w:tcBorders>
              <w:top w:val="nil"/>
              <w:left w:val="single" w:color="000000" w:sz="8" w:space="0"/>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最佳路演奖</w:t>
            </w:r>
          </w:p>
        </w:tc>
        <w:tc>
          <w:tcPr>
            <w:tcW w:w="0" w:type="auto"/>
            <w:vMerge w:val="continue"/>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387" w:hRule="atLeast"/>
          <w:jc w:val="center"/>
        </w:trPr>
        <w:tc>
          <w:tcPr>
            <w:tcW w:w="0" w:type="auto"/>
            <w:tcBorders>
              <w:top w:val="nil"/>
              <w:left w:val="single" w:color="000000" w:sz="8" w:space="0"/>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最具商业价值奖</w:t>
            </w:r>
          </w:p>
        </w:tc>
        <w:tc>
          <w:tcPr>
            <w:tcW w:w="0" w:type="auto"/>
            <w:vMerge w:val="continue"/>
            <w:tcBorders>
              <w:top w:val="nil"/>
              <w:left w:val="nil"/>
              <w:bottom w:val="single" w:color="000000" w:sz="8" w:space="0"/>
              <w:right w:val="single" w:color="000000" w:sz="8" w:space="0"/>
            </w:tcBorders>
            <w:shd w:val="clear" w:color="auto" w:fill="FFFFFF"/>
            <w:noWrap/>
            <w:tcMar>
              <w:top w:w="0" w:type="dxa"/>
              <w:left w:w="108" w:type="dxa"/>
              <w:bottom w:w="0" w:type="dxa"/>
              <w:right w:w="108" w:type="dxa"/>
            </w:tcMar>
            <w:vAlign w:val="center"/>
          </w:tcPr>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p>
        </w:tc>
      </w:tr>
    </w:tbl>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7.参赛队可同时获得团队奖项和企业奖项。企业奖项奖励由组委会和合作企业共同商定。</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8.初赛和决赛各个奖项均由组委会统一颁发荣誉证书。</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9.全国总决赛颁发奖金，研电之星团队奖励10000元，且不与团队奖金叠加；团队一等奖奖励3000元，团队二等奖奖励1000元；单项奖奖励1000元；获得最佳团体奖的研究生培养单位，颁发最佳团体奖奖杯，并于奖杯上镌刻研究生培养单位名称，每届轮转。其他奖项奖励根据具体情况确定。</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10.华为6G方向初赛团队总数小于50队时，晋级决赛的团队数量不超过50%，未晋级团队获得初赛三等奖；大于50队时，可适当降低晋级决赛的比例，具体数量由竞赛专家组讨论确定。</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11.华为6G方向晋级决赛的团队，由评审专家组根据评审规则，评选出一、二、三等奖。对前三名参赛团队，分别授予冠、亚、季军奖项，冠军团队入围研电之星挑战赛，参与争夺研电之星称号。</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12.华为6G专项赛奖金额为20万元人民币，分别为：</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冠军队4万，亚军队3万，季军队2万，共9万；全国一等奖：5队，每队1万，共5万；全国二等奖：12队，每队0.5万，共6万；全国三等奖：若干，颁发获奖证书与纪念品。（若晋级决赛的团队少于30队，适当减少获奖名额。）</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实习、面试优惠：获得华为6G专项赛一等奖及以上的赛队学生，可优先获得到华为相关业务部门实习的机会。毕业时应聘华为对口岗位，可获减免部分业务面试，优先录用。</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left"/>
        <w:textAlignment w:val="auto"/>
        <w:rPr>
          <w:rFonts w:hint="eastAsia" w:ascii="微软雅黑" w:hAnsi="微软雅黑" w:eastAsia="微软雅黑" w:cs="微软雅黑"/>
          <w:i w:val="0"/>
          <w:iCs w:val="0"/>
          <w:caps w:val="0"/>
          <w:color w:val="333333"/>
          <w:spacing w:val="0"/>
          <w:sz w:val="24"/>
          <w:szCs w:val="24"/>
        </w:rPr>
      </w:pPr>
      <w:r>
        <w:rPr>
          <w:rFonts w:hint="eastAsia" w:ascii="Times New Roman" w:hAnsi="Times New Roman" w:cs="Times New Roman" w:eastAsiaTheme="minorEastAsia"/>
          <w:i w:val="0"/>
          <w:iCs w:val="0"/>
          <w:caps w:val="0"/>
          <w:color w:val="333333"/>
          <w:spacing w:val="-6"/>
          <w:sz w:val="24"/>
          <w:szCs w:val="24"/>
          <w:shd w:val="clear" w:fill="FFFFFF"/>
        </w:rPr>
        <w:t> </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jc w:val="left"/>
        <w:textAlignment w:val="auto"/>
        <w:rPr>
          <w:rFonts w:hint="eastAsia" w:ascii="黑体" w:hAnsi="黑体" w:eastAsia="黑体" w:cs="黑体"/>
          <w:b/>
          <w:bCs/>
          <w:i w:val="0"/>
          <w:iCs w:val="0"/>
          <w:caps w:val="0"/>
          <w:color w:val="333333"/>
          <w:spacing w:val="-6"/>
          <w:sz w:val="28"/>
          <w:szCs w:val="28"/>
          <w:shd w:val="clear" w:fill="FFFFFF"/>
        </w:rPr>
      </w:pPr>
      <w:r>
        <w:rPr>
          <w:rFonts w:hint="eastAsia" w:ascii="黑体" w:hAnsi="黑体" w:eastAsia="黑体" w:cs="黑体"/>
          <w:b/>
          <w:bCs/>
          <w:i w:val="0"/>
          <w:iCs w:val="0"/>
          <w:caps w:val="0"/>
          <w:color w:val="333333"/>
          <w:spacing w:val="-6"/>
          <w:sz w:val="28"/>
          <w:szCs w:val="28"/>
          <w:shd w:val="clear" w:fill="FFFFFF"/>
        </w:rPr>
        <w:t>十、竞赛组委会联系方式</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1.联系人：马老师 刘老师</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2.答疑电话：400-885-0611/010-68600723</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3.官方微信号/视频号：cieeda</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4.组委会邮箱：cieeda@163.com</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lef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5.通讯地址：北京市海淀区玉渊潭南路普惠南里13号楼</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0" w:firstLineChars="0"/>
        <w:jc w:val="left"/>
        <w:textAlignment w:val="auto"/>
        <w:rPr>
          <w:rFonts w:hint="eastAsia" w:ascii="微软雅黑" w:hAnsi="微软雅黑" w:eastAsia="微软雅黑" w:cs="微软雅黑"/>
          <w:i w:val="0"/>
          <w:iCs w:val="0"/>
          <w:caps w:val="0"/>
          <w:color w:val="333333"/>
          <w:spacing w:val="0"/>
          <w:sz w:val="24"/>
          <w:szCs w:val="24"/>
        </w:rPr>
      </w:pPr>
      <w:r>
        <w:rPr>
          <w:rFonts w:hint="eastAsia" w:ascii="微软雅黑" w:hAnsi="微软雅黑" w:eastAsia="微软雅黑" w:cs="微软雅黑"/>
          <w:i w:val="0"/>
          <w:iCs w:val="0"/>
          <w:caps w:val="0"/>
          <w:color w:val="333333"/>
          <w:spacing w:val="0"/>
          <w:sz w:val="24"/>
          <w:szCs w:val="24"/>
          <w:shd w:val="clear" w:fill="FFFFFF"/>
        </w:rPr>
        <w:t> </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righ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中国研究生电子设计竞赛组委会</w:t>
      </w:r>
    </w:p>
    <w:p>
      <w:pPr>
        <w:pStyle w:val="2"/>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ind w:left="0" w:right="0" w:firstLine="456" w:firstLineChars="200"/>
        <w:jc w:val="right"/>
        <w:textAlignment w:val="auto"/>
        <w:rPr>
          <w:rFonts w:hint="eastAsia" w:ascii="Times New Roman" w:hAnsi="Times New Roman" w:cs="Times New Roman" w:eastAsiaTheme="minorEastAsia"/>
          <w:i w:val="0"/>
          <w:iCs w:val="0"/>
          <w:caps w:val="0"/>
          <w:color w:val="333333"/>
          <w:spacing w:val="-6"/>
          <w:sz w:val="24"/>
          <w:szCs w:val="24"/>
          <w:shd w:val="clear" w:fill="FFFFFF"/>
        </w:rPr>
      </w:pPr>
      <w:r>
        <w:rPr>
          <w:rFonts w:hint="eastAsia" w:ascii="Times New Roman" w:hAnsi="Times New Roman" w:cs="Times New Roman" w:eastAsiaTheme="minorEastAsia"/>
          <w:i w:val="0"/>
          <w:iCs w:val="0"/>
          <w:caps w:val="0"/>
          <w:color w:val="333333"/>
          <w:spacing w:val="-6"/>
          <w:sz w:val="24"/>
          <w:szCs w:val="24"/>
          <w:shd w:val="clear" w:fill="FFFFFF"/>
        </w:rPr>
        <w:t>2023年3月22日</w:t>
      </w:r>
    </w:p>
    <w:p>
      <w:pPr>
        <w:keepNext w:val="0"/>
        <w:keepLines w:val="0"/>
        <w:pageBreakBefore w:val="0"/>
        <w:kinsoku/>
        <w:wordWrap/>
        <w:overflowPunct/>
        <w:topLinePunct w:val="0"/>
        <w:autoSpaceDE/>
        <w:autoSpaceDN/>
        <w:bidi w:val="0"/>
        <w:adjustRightInd/>
        <w:snapToGrid/>
        <w:ind w:firstLine="0"/>
        <w:jc w:val="center"/>
        <w:textAlignment w:val="auto"/>
        <w:rPr>
          <w:rFonts w:hint="eastAsia" w:ascii="宋体" w:hAnsi="宋体" w:eastAsia="宋体" w:cs="宋体"/>
          <w:sz w:val="24"/>
          <w:szCs w:val="24"/>
          <w:lang w:val="en-US"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华文彩云">
    <w:panose1 w:val="02010800040101010101"/>
    <w:charset w:val="86"/>
    <w:family w:val="auto"/>
    <w:pitch w:val="default"/>
    <w:sig w:usb0="00000001" w:usb1="080F0000" w:usb2="00000000" w:usb3="00000000" w:csb0="00040000" w:csb1="00000000"/>
  </w:font>
  <w:font w:name="仿宋">
    <w:panose1 w:val="02010609060101010101"/>
    <w:charset w:val="86"/>
    <w:family w:val="auto"/>
    <w:pitch w:val="default"/>
    <w:sig w:usb0="800002BF" w:usb1="38CF7CFA" w:usb2="00000016" w:usb3="00000000" w:csb0="00040001" w:csb1="00000000"/>
  </w:font>
  <w:font w:name="华文中宋">
    <w:panose1 w:val="02010600040101010101"/>
    <w:charset w:val="86"/>
    <w:family w:val="auto"/>
    <w:pitch w:val="default"/>
    <w:sig w:usb0="00000287" w:usb1="080F0000" w:usb2="00000000" w:usb3="00000000" w:csb0="0004009F" w:csb1="DFD70000"/>
  </w:font>
  <w:font w:name="华文宋体">
    <w:panose1 w:val="02010600040101010101"/>
    <w:charset w:val="86"/>
    <w:family w:val="auto"/>
    <w:pitch w:val="default"/>
    <w:sig w:usb0="00000287" w:usb1="080F0000" w:usb2="00000000" w:usb3="00000000" w:csb0="0004009F" w:csb1="DFD7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jhhYzhkNzI0OTAxODY5MTFiNDFjMTVjMTRiMGNhOWEifQ=="/>
  </w:docVars>
  <w:rsids>
    <w:rsidRoot w:val="591934C7"/>
    <w:rsid w:val="591934C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uiPriority w:val="0"/>
  </w:style>
  <w:style w:type="table" w:default="1" w:styleId="3">
    <w:name w:val="Normal Table"/>
    <w:semiHidden/>
    <w:uiPriority w:val="0"/>
    <w:tblPr>
      <w:tblCellMar>
        <w:top w:w="0" w:type="dxa"/>
        <w:left w:w="108" w:type="dxa"/>
        <w:bottom w:w="0" w:type="dxa"/>
        <w:right w:w="108" w:type="dxa"/>
      </w:tblCellMar>
    </w:tblPr>
  </w:style>
  <w:style w:type="paragraph" w:styleId="2">
    <w:name w:val="Normal (Web)"/>
    <w:basedOn w:val="1"/>
    <w:uiPriority w:val="0"/>
    <w:pPr>
      <w:spacing w:before="0" w:beforeAutospacing="1" w:after="0" w:afterAutospacing="1"/>
      <w:ind w:left="0" w:right="0"/>
      <w:jc w:val="left"/>
    </w:pPr>
    <w:rPr>
      <w:kern w:val="0"/>
      <w:sz w:val="24"/>
      <w:lang w:val="en-US" w:eastAsia="zh-CN" w:bidi="ar"/>
    </w:r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25</TotalTime>
  <ScaleCrop>false</ScaleCrop>
  <LinksUpToDate>false</LinksUpToDate>
  <CharactersWithSpaces>0</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2023-05-04T03:24:00Z</dcterms:created>
  <dc:creator>刘惠欣</dc:creator>
  <cp:lastModifiedBy>刘惠欣</cp:lastModifiedBy>
  <dcterms:modified xsi:type="dcterms:W3CDTF">2023-05-04T03:55:17Z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B853455B1A7E41A595C0B9A70F99E25C_11</vt:lpwstr>
  </property>
</Properties>
</file>